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FE5" w:rsidRPr="00367FE5" w:rsidRDefault="00367FE5" w:rsidP="00367FE5">
      <w:pPr>
        <w:textAlignment w:val="baseline"/>
        <w:outlineLvl w:val="0"/>
        <w:rPr>
          <w:rFonts w:ascii="Georgia" w:eastAsia="Times New Roman" w:hAnsi="Georgia" w:cs="Times New Roman"/>
          <w:b/>
          <w:color w:val="000000"/>
          <w:spacing w:val="-9"/>
          <w:kern w:val="36"/>
          <w:sz w:val="28"/>
          <w:szCs w:val="28"/>
          <w:lang w:eastAsia="en-US"/>
        </w:rPr>
      </w:pPr>
      <w:r w:rsidRPr="00367FE5">
        <w:rPr>
          <w:rFonts w:ascii="Georgia" w:eastAsia="Times New Roman" w:hAnsi="Georgia" w:cs="Times New Roman"/>
          <w:b/>
          <w:color w:val="000000"/>
          <w:spacing w:val="-9"/>
          <w:kern w:val="36"/>
          <w:sz w:val="28"/>
          <w:szCs w:val="28"/>
          <w:lang w:eastAsia="en-US"/>
        </w:rPr>
        <w:t>Tapping music’s power to heal the brain</w:t>
      </w:r>
    </w:p>
    <w:p w:rsidR="00367FE5" w:rsidRPr="00367FE5" w:rsidRDefault="00367FE5" w:rsidP="00367FE5">
      <w:pPr>
        <w:textAlignment w:val="baseline"/>
        <w:rPr>
          <w:rFonts w:ascii="Georgia" w:hAnsi="Georgia" w:cs="Times New Roman"/>
          <w:caps/>
          <w:color w:val="FF0000"/>
          <w:lang w:eastAsia="en-US"/>
        </w:rPr>
      </w:pPr>
      <w:r w:rsidRPr="00367FE5">
        <w:rPr>
          <w:rFonts w:ascii="Georgia" w:hAnsi="Georgia" w:cs="Times New Roman"/>
          <w:caps/>
          <w:color w:val="FF0000"/>
          <w:lang w:eastAsia="en-US"/>
        </w:rPr>
        <w:t>ADRIANA BARTON,</w:t>
      </w:r>
    </w:p>
    <w:p w:rsidR="00367FE5" w:rsidRPr="00367FE5" w:rsidRDefault="00367FE5" w:rsidP="00367FE5">
      <w:pPr>
        <w:textAlignment w:val="baseline"/>
        <w:rPr>
          <w:rFonts w:ascii="Helvetica" w:hAnsi="Helvetica" w:cs="Times New Roman"/>
          <w:lang w:eastAsia="en-US"/>
        </w:rPr>
      </w:pPr>
      <w:r w:rsidRPr="00367FE5">
        <w:rPr>
          <w:rFonts w:ascii="Helvetica" w:hAnsi="Helvetica" w:cs="Times New Roman"/>
          <w:lang w:eastAsia="en-US"/>
        </w:rPr>
        <w:t>VANCOUVER — The Globe and Mail</w:t>
      </w:r>
    </w:p>
    <w:p w:rsidR="00367FE5" w:rsidRPr="00367FE5" w:rsidRDefault="00367FE5" w:rsidP="00367FE5">
      <w:pPr>
        <w:textAlignment w:val="baseline"/>
        <w:rPr>
          <w:rFonts w:ascii="Helvetica" w:hAnsi="Helvetica" w:cs="Times New Roman"/>
          <w:lang w:eastAsia="en-US"/>
        </w:rPr>
      </w:pPr>
      <w:r w:rsidRPr="00367FE5">
        <w:rPr>
          <w:rFonts w:ascii="Helvetica" w:hAnsi="Helvetica" w:cs="Times New Roman"/>
          <w:lang w:eastAsia="en-US"/>
        </w:rPr>
        <w:t>Published Sunday, Feb. 19 2012, 4:00 PM EST</w:t>
      </w:r>
      <w:bookmarkStart w:id="0" w:name="_GoBack"/>
      <w:bookmarkEnd w:id="0"/>
    </w:p>
    <w:p w:rsidR="00367FE5" w:rsidRPr="00367FE5" w:rsidRDefault="00367FE5" w:rsidP="00367FE5">
      <w:pPr>
        <w:textAlignment w:val="baseline"/>
        <w:rPr>
          <w:rFonts w:ascii="Helvetica" w:hAnsi="Helvetica" w:cs="Times New Roman"/>
          <w:lang w:eastAsia="en-US"/>
        </w:rPr>
      </w:pPr>
      <w:r w:rsidRPr="00367FE5">
        <w:rPr>
          <w:rFonts w:ascii="Helvetica" w:hAnsi="Helvetica" w:cs="Times New Roman"/>
          <w:lang w:eastAsia="en-US"/>
        </w:rPr>
        <w:t>Last updated Friday, Feb. 17 2012, 2:46 PM EST</w:t>
      </w:r>
    </w:p>
    <w:p w:rsidR="00367FE5" w:rsidRPr="00367FE5" w:rsidRDefault="00367FE5" w:rsidP="00367FE5">
      <w:pPr>
        <w:pBdr>
          <w:right w:val="single" w:sz="6" w:space="4" w:color="FFFFFF"/>
        </w:pBdr>
        <w:spacing w:line="225" w:lineRule="atLeast"/>
        <w:textAlignment w:val="baseline"/>
        <w:rPr>
          <w:rFonts w:ascii="Georgia" w:eastAsia="Times New Roman" w:hAnsi="Georgia" w:cs="Times New Roman"/>
          <w:color w:val="000000"/>
          <w:lang w:eastAsia="en-US"/>
        </w:rPr>
      </w:pPr>
    </w:p>
    <w:tbl>
      <w:tblPr>
        <w:tblW w:w="5311" w:type="dxa"/>
        <w:tblCellMar>
          <w:left w:w="0" w:type="dxa"/>
          <w:right w:w="0" w:type="dxa"/>
        </w:tblCellMar>
        <w:tblLook w:val="04A0" w:firstRow="1" w:lastRow="0" w:firstColumn="1" w:lastColumn="0" w:noHBand="0" w:noVBand="1"/>
      </w:tblPr>
      <w:tblGrid>
        <w:gridCol w:w="1174"/>
        <w:gridCol w:w="1174"/>
        <w:gridCol w:w="1174"/>
        <w:gridCol w:w="1174"/>
        <w:gridCol w:w="695"/>
      </w:tblGrid>
      <w:tr w:rsidR="00367FE5" w:rsidRPr="00367FE5" w:rsidTr="00367FE5">
        <w:tc>
          <w:tcPr>
            <w:tcW w:w="1158" w:type="dxa"/>
            <w:tcBorders>
              <w:top w:val="nil"/>
              <w:left w:val="nil"/>
              <w:bottom w:val="nil"/>
              <w:right w:val="nil"/>
            </w:tcBorders>
            <w:noWrap/>
            <w:vAlign w:val="center"/>
            <w:hideMark/>
          </w:tcPr>
          <w:tbl>
            <w:tblPr>
              <w:tblW w:w="0" w:type="dxa"/>
              <w:tblCellMar>
                <w:left w:w="0" w:type="dxa"/>
                <w:right w:w="0" w:type="dxa"/>
              </w:tblCellMar>
              <w:tblLook w:val="04A0" w:firstRow="1" w:lastRow="0" w:firstColumn="1" w:lastColumn="0" w:noHBand="0" w:noVBand="1"/>
            </w:tblPr>
            <w:tblGrid>
              <w:gridCol w:w="332"/>
              <w:gridCol w:w="570"/>
            </w:tblGrid>
            <w:tr w:rsidR="00367FE5" w:rsidRPr="00367FE5" w:rsidTr="00367FE5">
              <w:tc>
                <w:tcPr>
                  <w:tcW w:w="6" w:type="dxa"/>
                  <w:tcBorders>
                    <w:top w:val="nil"/>
                    <w:left w:val="nil"/>
                    <w:bottom w:val="nil"/>
                    <w:right w:val="nil"/>
                  </w:tcBorders>
                  <w:vAlign w:val="center"/>
                  <w:hideMark/>
                </w:tcPr>
                <w:tbl>
                  <w:tblPr>
                    <w:tblW w:w="0" w:type="dxa"/>
                    <w:tblCellMar>
                      <w:left w:w="0" w:type="dxa"/>
                      <w:right w:w="0" w:type="dxa"/>
                    </w:tblCellMar>
                    <w:tblLook w:val="04A0" w:firstRow="1" w:lastRow="0" w:firstColumn="1" w:lastColumn="0" w:noHBand="0" w:noVBand="1"/>
                  </w:tblPr>
                  <w:tblGrid>
                    <w:gridCol w:w="6"/>
                    <w:gridCol w:w="320"/>
                    <w:gridCol w:w="6"/>
                  </w:tblGrid>
                  <w:tr w:rsidR="00367FE5" w:rsidRPr="00367FE5" w:rsidTr="00367FE5">
                    <w:tc>
                      <w:tcPr>
                        <w:tcW w:w="6" w:type="dxa"/>
                        <w:tcBorders>
                          <w:top w:val="nil"/>
                          <w:left w:val="nil"/>
                          <w:bottom w:val="nil"/>
                          <w:right w:val="nil"/>
                        </w:tcBorders>
                        <w:vAlign w:val="bottom"/>
                        <w:hideMark/>
                      </w:tcPr>
                      <w:p w:rsidR="00367FE5" w:rsidRPr="00367FE5" w:rsidRDefault="00367FE5" w:rsidP="00367FE5">
                        <w:pPr>
                          <w:rPr>
                            <w:rFonts w:ascii="Arial" w:eastAsia="Times New Roman" w:hAnsi="Arial" w:cs="Arial"/>
                            <w:color w:val="4D4D4D"/>
                            <w:lang w:eastAsia="en-US"/>
                          </w:rPr>
                        </w:pPr>
                      </w:p>
                    </w:tc>
                    <w:tc>
                      <w:tcPr>
                        <w:tcW w:w="6" w:type="dxa"/>
                        <w:tcBorders>
                          <w:top w:val="nil"/>
                          <w:left w:val="nil"/>
                          <w:bottom w:val="nil"/>
                          <w:right w:val="nil"/>
                        </w:tcBorders>
                        <w:vAlign w:val="center"/>
                        <w:hideMark/>
                      </w:tcPr>
                      <w:p w:rsidR="00367FE5" w:rsidRPr="00367FE5" w:rsidRDefault="00367FE5" w:rsidP="00367FE5">
                        <w:pPr>
                          <w:rPr>
                            <w:rFonts w:ascii="Arial" w:eastAsia="Times New Roman" w:hAnsi="Arial" w:cs="Arial"/>
                            <w:color w:val="4D4D4D"/>
                            <w:lang w:eastAsia="en-US"/>
                          </w:rPr>
                        </w:pPr>
                        <w:r w:rsidRPr="00367FE5">
                          <w:rPr>
                            <w:rFonts w:ascii="Arial" w:eastAsia="Times New Roman" w:hAnsi="Arial" w:cs="Arial"/>
                            <w:noProof/>
                            <w:color w:val="4D4D4D"/>
                            <w:lang w:eastAsia="en-US"/>
                          </w:rPr>
                          <w:drawing>
                            <wp:inline distT="0" distB="0" distL="0" distR="0" wp14:anchorId="6072DC76" wp14:editId="31808BC9">
                              <wp:extent cx="203200" cy="203200"/>
                              <wp:effectExtent l="0" t="0" r="0" b="0"/>
                              <wp:docPr id="1" name="tgamShareBar-reaction0-icon_img" descr="http://cdn.gigya.com/gs/i/sharebar/icons/shar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gamShareBar-reaction0-icon_img" descr="http://cdn.gigya.com/gs/i/sharebar/icons/share3.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tc>
                    <w:tc>
                      <w:tcPr>
                        <w:tcW w:w="6" w:type="dxa"/>
                        <w:tcBorders>
                          <w:top w:val="nil"/>
                          <w:left w:val="nil"/>
                          <w:bottom w:val="nil"/>
                          <w:right w:val="nil"/>
                        </w:tcBorders>
                        <w:vAlign w:val="bottom"/>
                        <w:hideMark/>
                      </w:tcPr>
                      <w:p w:rsidR="00367FE5" w:rsidRPr="00367FE5" w:rsidRDefault="00367FE5" w:rsidP="00367FE5">
                        <w:pPr>
                          <w:rPr>
                            <w:rFonts w:ascii="Arial" w:eastAsia="Times New Roman" w:hAnsi="Arial" w:cs="Arial"/>
                            <w:color w:val="4D4D4D"/>
                            <w:lang w:eastAsia="en-US"/>
                          </w:rPr>
                        </w:pPr>
                      </w:p>
                    </w:tc>
                  </w:tr>
                </w:tbl>
                <w:p w:rsidR="00367FE5" w:rsidRPr="00367FE5" w:rsidRDefault="00367FE5" w:rsidP="00367FE5">
                  <w:pPr>
                    <w:textAlignment w:val="baseline"/>
                    <w:rPr>
                      <w:rFonts w:ascii="Arial" w:eastAsia="Times New Roman" w:hAnsi="Arial" w:cs="Arial"/>
                      <w:color w:val="4D4D4D"/>
                      <w:lang w:eastAsia="en-US"/>
                    </w:rPr>
                  </w:pPr>
                </w:p>
              </w:tc>
              <w:tc>
                <w:tcPr>
                  <w:tcW w:w="6" w:type="dxa"/>
                  <w:tcBorders>
                    <w:top w:val="nil"/>
                    <w:left w:val="nil"/>
                    <w:bottom w:val="nil"/>
                    <w:right w:val="nil"/>
                  </w:tcBorders>
                  <w:vAlign w:val="bottom"/>
                  <w:hideMark/>
                </w:tcPr>
                <w:tbl>
                  <w:tblPr>
                    <w:tblW w:w="570" w:type="dxa"/>
                    <w:tblCellMar>
                      <w:left w:w="0" w:type="dxa"/>
                      <w:right w:w="0" w:type="dxa"/>
                    </w:tblCellMar>
                    <w:tblLook w:val="04A0" w:firstRow="1" w:lastRow="0" w:firstColumn="1" w:lastColumn="0" w:noHBand="0" w:noVBand="1"/>
                  </w:tblPr>
                  <w:tblGrid>
                    <w:gridCol w:w="570"/>
                  </w:tblGrid>
                  <w:tr w:rsidR="00367FE5" w:rsidRPr="00367FE5" w:rsidTr="00367FE5">
                    <w:tc>
                      <w:tcPr>
                        <w:tcW w:w="6" w:type="dxa"/>
                        <w:tcBorders>
                          <w:top w:val="nil"/>
                          <w:left w:val="nil"/>
                          <w:bottom w:val="nil"/>
                          <w:right w:val="nil"/>
                        </w:tcBorders>
                        <w:vAlign w:val="center"/>
                        <w:hideMark/>
                      </w:tcPr>
                      <w:p w:rsidR="00367FE5" w:rsidRPr="00367FE5" w:rsidRDefault="00367FE5" w:rsidP="00367FE5">
                        <w:pPr>
                          <w:jc w:val="center"/>
                          <w:rPr>
                            <w:rFonts w:ascii="Arial" w:eastAsia="Times New Roman" w:hAnsi="Arial" w:cs="Arial"/>
                            <w:color w:val="4D4D4D"/>
                            <w:lang w:eastAsia="en-US"/>
                          </w:rPr>
                        </w:pPr>
                      </w:p>
                    </w:tc>
                  </w:tr>
                </w:tbl>
                <w:p w:rsidR="00367FE5" w:rsidRPr="00367FE5" w:rsidRDefault="00367FE5" w:rsidP="00367FE5">
                  <w:pPr>
                    <w:textAlignment w:val="baseline"/>
                    <w:rPr>
                      <w:rFonts w:ascii="Arial" w:eastAsia="Times New Roman" w:hAnsi="Arial" w:cs="Arial"/>
                      <w:color w:val="4D4D4D"/>
                      <w:lang w:eastAsia="en-US"/>
                    </w:rPr>
                  </w:pPr>
                </w:p>
              </w:tc>
            </w:tr>
          </w:tbl>
          <w:p w:rsidR="00367FE5" w:rsidRPr="00367FE5" w:rsidRDefault="00367FE5" w:rsidP="00367FE5">
            <w:pPr>
              <w:textAlignment w:val="baseline"/>
              <w:rPr>
                <w:rFonts w:ascii="Arial" w:eastAsia="Times New Roman" w:hAnsi="Arial" w:cs="Arial"/>
                <w:color w:val="4D4D4D"/>
                <w:lang w:eastAsia="en-US"/>
              </w:rPr>
            </w:pPr>
          </w:p>
        </w:tc>
        <w:tc>
          <w:tcPr>
            <w:tcW w:w="1158" w:type="dxa"/>
            <w:tcBorders>
              <w:top w:val="nil"/>
              <w:left w:val="nil"/>
              <w:bottom w:val="nil"/>
              <w:right w:val="nil"/>
            </w:tcBorders>
            <w:noWrap/>
            <w:vAlign w:val="center"/>
            <w:hideMark/>
          </w:tcPr>
          <w:tbl>
            <w:tblPr>
              <w:tblW w:w="0" w:type="dxa"/>
              <w:tblCellMar>
                <w:left w:w="0" w:type="dxa"/>
                <w:right w:w="0" w:type="dxa"/>
              </w:tblCellMar>
              <w:tblLook w:val="04A0" w:firstRow="1" w:lastRow="0" w:firstColumn="1" w:lastColumn="0" w:noHBand="0" w:noVBand="1"/>
            </w:tblPr>
            <w:tblGrid>
              <w:gridCol w:w="332"/>
              <w:gridCol w:w="570"/>
            </w:tblGrid>
            <w:tr w:rsidR="00367FE5" w:rsidRPr="00367FE5" w:rsidTr="00367FE5">
              <w:tc>
                <w:tcPr>
                  <w:tcW w:w="6" w:type="dxa"/>
                  <w:tcBorders>
                    <w:top w:val="nil"/>
                    <w:left w:val="nil"/>
                    <w:bottom w:val="nil"/>
                    <w:right w:val="nil"/>
                  </w:tcBorders>
                  <w:vAlign w:val="center"/>
                  <w:hideMark/>
                </w:tcPr>
                <w:tbl>
                  <w:tblPr>
                    <w:tblW w:w="0" w:type="dxa"/>
                    <w:tblCellMar>
                      <w:left w:w="0" w:type="dxa"/>
                      <w:right w:w="0" w:type="dxa"/>
                    </w:tblCellMar>
                    <w:tblLook w:val="04A0" w:firstRow="1" w:lastRow="0" w:firstColumn="1" w:lastColumn="0" w:noHBand="0" w:noVBand="1"/>
                  </w:tblPr>
                  <w:tblGrid>
                    <w:gridCol w:w="6"/>
                    <w:gridCol w:w="320"/>
                    <w:gridCol w:w="6"/>
                  </w:tblGrid>
                  <w:tr w:rsidR="00367FE5" w:rsidRPr="00367FE5" w:rsidTr="00367FE5">
                    <w:tc>
                      <w:tcPr>
                        <w:tcW w:w="6" w:type="dxa"/>
                        <w:tcBorders>
                          <w:top w:val="nil"/>
                          <w:left w:val="nil"/>
                          <w:bottom w:val="nil"/>
                          <w:right w:val="nil"/>
                        </w:tcBorders>
                        <w:vAlign w:val="bottom"/>
                        <w:hideMark/>
                      </w:tcPr>
                      <w:p w:rsidR="00367FE5" w:rsidRPr="00367FE5" w:rsidRDefault="00367FE5" w:rsidP="00367FE5">
                        <w:pPr>
                          <w:rPr>
                            <w:rFonts w:ascii="Arial" w:eastAsia="Times New Roman" w:hAnsi="Arial" w:cs="Arial"/>
                            <w:color w:val="4D4D4D"/>
                            <w:lang w:eastAsia="en-US"/>
                          </w:rPr>
                        </w:pPr>
                      </w:p>
                    </w:tc>
                    <w:tc>
                      <w:tcPr>
                        <w:tcW w:w="6" w:type="dxa"/>
                        <w:tcBorders>
                          <w:top w:val="nil"/>
                          <w:left w:val="nil"/>
                          <w:bottom w:val="nil"/>
                          <w:right w:val="nil"/>
                        </w:tcBorders>
                        <w:vAlign w:val="center"/>
                        <w:hideMark/>
                      </w:tcPr>
                      <w:p w:rsidR="00367FE5" w:rsidRPr="00367FE5" w:rsidRDefault="00367FE5" w:rsidP="00367FE5">
                        <w:pPr>
                          <w:rPr>
                            <w:rFonts w:ascii="Arial" w:eastAsia="Times New Roman" w:hAnsi="Arial" w:cs="Arial"/>
                            <w:color w:val="4D4D4D"/>
                            <w:lang w:eastAsia="en-US"/>
                          </w:rPr>
                        </w:pPr>
                        <w:r w:rsidRPr="00367FE5">
                          <w:rPr>
                            <w:rFonts w:ascii="Arial" w:eastAsia="Times New Roman" w:hAnsi="Arial" w:cs="Arial"/>
                            <w:noProof/>
                            <w:color w:val="4D4D4D"/>
                            <w:lang w:eastAsia="en-US"/>
                          </w:rPr>
                          <w:drawing>
                            <wp:inline distT="0" distB="0" distL="0" distR="0" wp14:anchorId="2B7F6D98" wp14:editId="529C3650">
                              <wp:extent cx="203200" cy="203200"/>
                              <wp:effectExtent l="0" t="0" r="0" b="0"/>
                              <wp:docPr id="2" name="tgamShareBar-reaction1-icon_img" descr="https://cdns.gigya.com/gs/i/shareBar/icons/face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gamShareBar-reaction1-icon_img" descr="https://cdns.gigya.com/gs/i/shareBar/icons/faceboo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tc>
                    <w:tc>
                      <w:tcPr>
                        <w:tcW w:w="6" w:type="dxa"/>
                        <w:tcBorders>
                          <w:top w:val="nil"/>
                          <w:left w:val="nil"/>
                          <w:bottom w:val="nil"/>
                          <w:right w:val="nil"/>
                        </w:tcBorders>
                        <w:vAlign w:val="bottom"/>
                        <w:hideMark/>
                      </w:tcPr>
                      <w:p w:rsidR="00367FE5" w:rsidRPr="00367FE5" w:rsidRDefault="00367FE5" w:rsidP="00367FE5">
                        <w:pPr>
                          <w:rPr>
                            <w:rFonts w:ascii="Arial" w:eastAsia="Times New Roman" w:hAnsi="Arial" w:cs="Arial"/>
                            <w:color w:val="4D4D4D"/>
                            <w:lang w:eastAsia="en-US"/>
                          </w:rPr>
                        </w:pPr>
                      </w:p>
                    </w:tc>
                  </w:tr>
                </w:tbl>
                <w:p w:rsidR="00367FE5" w:rsidRPr="00367FE5" w:rsidRDefault="00367FE5" w:rsidP="00367FE5">
                  <w:pPr>
                    <w:textAlignment w:val="baseline"/>
                    <w:rPr>
                      <w:rFonts w:ascii="Arial" w:eastAsia="Times New Roman" w:hAnsi="Arial" w:cs="Arial"/>
                      <w:color w:val="4D4D4D"/>
                      <w:lang w:eastAsia="en-US"/>
                    </w:rPr>
                  </w:pPr>
                </w:p>
              </w:tc>
              <w:tc>
                <w:tcPr>
                  <w:tcW w:w="6" w:type="dxa"/>
                  <w:tcBorders>
                    <w:top w:val="nil"/>
                    <w:left w:val="nil"/>
                    <w:bottom w:val="nil"/>
                    <w:right w:val="nil"/>
                  </w:tcBorders>
                  <w:vAlign w:val="bottom"/>
                  <w:hideMark/>
                </w:tcPr>
                <w:tbl>
                  <w:tblPr>
                    <w:tblW w:w="570" w:type="dxa"/>
                    <w:tblCellMar>
                      <w:left w:w="0" w:type="dxa"/>
                      <w:right w:w="0" w:type="dxa"/>
                    </w:tblCellMar>
                    <w:tblLook w:val="04A0" w:firstRow="1" w:lastRow="0" w:firstColumn="1" w:lastColumn="0" w:noHBand="0" w:noVBand="1"/>
                  </w:tblPr>
                  <w:tblGrid>
                    <w:gridCol w:w="570"/>
                  </w:tblGrid>
                  <w:tr w:rsidR="00367FE5" w:rsidRPr="00367FE5" w:rsidTr="00367FE5">
                    <w:tc>
                      <w:tcPr>
                        <w:tcW w:w="6" w:type="dxa"/>
                        <w:tcBorders>
                          <w:top w:val="nil"/>
                          <w:left w:val="nil"/>
                          <w:bottom w:val="nil"/>
                          <w:right w:val="nil"/>
                        </w:tcBorders>
                        <w:vAlign w:val="center"/>
                        <w:hideMark/>
                      </w:tcPr>
                      <w:p w:rsidR="00367FE5" w:rsidRPr="00367FE5" w:rsidRDefault="00367FE5" w:rsidP="00367FE5">
                        <w:pPr>
                          <w:jc w:val="center"/>
                          <w:rPr>
                            <w:rFonts w:ascii="Arial" w:eastAsia="Times New Roman" w:hAnsi="Arial" w:cs="Arial"/>
                            <w:color w:val="4D4D4D"/>
                            <w:lang w:eastAsia="en-US"/>
                          </w:rPr>
                        </w:pPr>
                      </w:p>
                    </w:tc>
                  </w:tr>
                </w:tbl>
                <w:p w:rsidR="00367FE5" w:rsidRPr="00367FE5" w:rsidRDefault="00367FE5" w:rsidP="00367FE5">
                  <w:pPr>
                    <w:textAlignment w:val="baseline"/>
                    <w:rPr>
                      <w:rFonts w:ascii="Arial" w:eastAsia="Times New Roman" w:hAnsi="Arial" w:cs="Arial"/>
                      <w:color w:val="4D4D4D"/>
                      <w:lang w:eastAsia="en-US"/>
                    </w:rPr>
                  </w:pPr>
                </w:p>
              </w:tc>
            </w:tr>
          </w:tbl>
          <w:p w:rsidR="00367FE5" w:rsidRPr="00367FE5" w:rsidRDefault="00367FE5" w:rsidP="00367FE5">
            <w:pPr>
              <w:textAlignment w:val="baseline"/>
              <w:rPr>
                <w:rFonts w:ascii="Arial" w:eastAsia="Times New Roman" w:hAnsi="Arial" w:cs="Arial"/>
                <w:color w:val="4D4D4D"/>
                <w:lang w:eastAsia="en-US"/>
              </w:rPr>
            </w:pPr>
          </w:p>
        </w:tc>
        <w:tc>
          <w:tcPr>
            <w:tcW w:w="1158" w:type="dxa"/>
            <w:tcBorders>
              <w:top w:val="nil"/>
              <w:left w:val="nil"/>
              <w:bottom w:val="nil"/>
              <w:right w:val="nil"/>
            </w:tcBorders>
            <w:noWrap/>
            <w:vAlign w:val="center"/>
            <w:hideMark/>
          </w:tcPr>
          <w:tbl>
            <w:tblPr>
              <w:tblW w:w="0" w:type="dxa"/>
              <w:tblCellMar>
                <w:left w:w="0" w:type="dxa"/>
                <w:right w:w="0" w:type="dxa"/>
              </w:tblCellMar>
              <w:tblLook w:val="04A0" w:firstRow="1" w:lastRow="0" w:firstColumn="1" w:lastColumn="0" w:noHBand="0" w:noVBand="1"/>
            </w:tblPr>
            <w:tblGrid>
              <w:gridCol w:w="332"/>
              <w:gridCol w:w="570"/>
            </w:tblGrid>
            <w:tr w:rsidR="00367FE5" w:rsidRPr="00367FE5" w:rsidTr="00367FE5">
              <w:tc>
                <w:tcPr>
                  <w:tcW w:w="6" w:type="dxa"/>
                  <w:tcBorders>
                    <w:top w:val="nil"/>
                    <w:left w:val="nil"/>
                    <w:bottom w:val="nil"/>
                    <w:right w:val="nil"/>
                  </w:tcBorders>
                  <w:vAlign w:val="center"/>
                  <w:hideMark/>
                </w:tcPr>
                <w:tbl>
                  <w:tblPr>
                    <w:tblW w:w="0" w:type="dxa"/>
                    <w:tblCellMar>
                      <w:left w:w="0" w:type="dxa"/>
                      <w:right w:w="0" w:type="dxa"/>
                    </w:tblCellMar>
                    <w:tblLook w:val="04A0" w:firstRow="1" w:lastRow="0" w:firstColumn="1" w:lastColumn="0" w:noHBand="0" w:noVBand="1"/>
                  </w:tblPr>
                  <w:tblGrid>
                    <w:gridCol w:w="6"/>
                    <w:gridCol w:w="320"/>
                    <w:gridCol w:w="6"/>
                  </w:tblGrid>
                  <w:tr w:rsidR="00367FE5" w:rsidRPr="00367FE5" w:rsidTr="00367FE5">
                    <w:tc>
                      <w:tcPr>
                        <w:tcW w:w="6" w:type="dxa"/>
                        <w:tcBorders>
                          <w:top w:val="nil"/>
                          <w:left w:val="nil"/>
                          <w:bottom w:val="nil"/>
                          <w:right w:val="nil"/>
                        </w:tcBorders>
                        <w:vAlign w:val="bottom"/>
                        <w:hideMark/>
                      </w:tcPr>
                      <w:p w:rsidR="00367FE5" w:rsidRPr="00367FE5" w:rsidRDefault="00367FE5" w:rsidP="00367FE5">
                        <w:pPr>
                          <w:rPr>
                            <w:rFonts w:ascii="Arial" w:eastAsia="Times New Roman" w:hAnsi="Arial" w:cs="Arial"/>
                            <w:color w:val="4D4D4D"/>
                            <w:lang w:eastAsia="en-US"/>
                          </w:rPr>
                        </w:pPr>
                      </w:p>
                    </w:tc>
                    <w:tc>
                      <w:tcPr>
                        <w:tcW w:w="6" w:type="dxa"/>
                        <w:tcBorders>
                          <w:top w:val="nil"/>
                          <w:left w:val="nil"/>
                          <w:bottom w:val="nil"/>
                          <w:right w:val="nil"/>
                        </w:tcBorders>
                        <w:vAlign w:val="center"/>
                        <w:hideMark/>
                      </w:tcPr>
                      <w:p w:rsidR="00367FE5" w:rsidRPr="00367FE5" w:rsidRDefault="00367FE5" w:rsidP="00367FE5">
                        <w:pPr>
                          <w:rPr>
                            <w:rFonts w:ascii="Arial" w:eastAsia="Times New Roman" w:hAnsi="Arial" w:cs="Arial"/>
                            <w:color w:val="4D4D4D"/>
                            <w:lang w:eastAsia="en-US"/>
                          </w:rPr>
                        </w:pPr>
                        <w:r w:rsidRPr="00367FE5">
                          <w:rPr>
                            <w:rFonts w:ascii="Arial" w:eastAsia="Times New Roman" w:hAnsi="Arial" w:cs="Arial"/>
                            <w:noProof/>
                            <w:color w:val="4D4D4D"/>
                            <w:lang w:eastAsia="en-US"/>
                          </w:rPr>
                          <w:drawing>
                            <wp:inline distT="0" distB="0" distL="0" distR="0" wp14:anchorId="4DDC6996" wp14:editId="1BCB871F">
                              <wp:extent cx="203200" cy="203200"/>
                              <wp:effectExtent l="0" t="0" r="0" b="0"/>
                              <wp:docPr id="3" name="tgamShareBar-reaction2-icon_img" descr="https://cdns.gigya.com/gs/i/shareBar/icons/twit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gamShareBar-reaction2-icon_img" descr="https://cdns.gigya.com/gs/i/shareBar/icons/twitt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tc>
                    <w:tc>
                      <w:tcPr>
                        <w:tcW w:w="6" w:type="dxa"/>
                        <w:tcBorders>
                          <w:top w:val="nil"/>
                          <w:left w:val="nil"/>
                          <w:bottom w:val="nil"/>
                          <w:right w:val="nil"/>
                        </w:tcBorders>
                        <w:vAlign w:val="bottom"/>
                        <w:hideMark/>
                      </w:tcPr>
                      <w:p w:rsidR="00367FE5" w:rsidRPr="00367FE5" w:rsidRDefault="00367FE5" w:rsidP="00367FE5">
                        <w:pPr>
                          <w:rPr>
                            <w:rFonts w:ascii="Arial" w:eastAsia="Times New Roman" w:hAnsi="Arial" w:cs="Arial"/>
                            <w:color w:val="4D4D4D"/>
                            <w:lang w:eastAsia="en-US"/>
                          </w:rPr>
                        </w:pPr>
                      </w:p>
                    </w:tc>
                  </w:tr>
                </w:tbl>
                <w:p w:rsidR="00367FE5" w:rsidRPr="00367FE5" w:rsidRDefault="00367FE5" w:rsidP="00367FE5">
                  <w:pPr>
                    <w:textAlignment w:val="baseline"/>
                    <w:rPr>
                      <w:rFonts w:ascii="Arial" w:eastAsia="Times New Roman" w:hAnsi="Arial" w:cs="Arial"/>
                      <w:color w:val="4D4D4D"/>
                      <w:lang w:eastAsia="en-US"/>
                    </w:rPr>
                  </w:pPr>
                </w:p>
              </w:tc>
              <w:tc>
                <w:tcPr>
                  <w:tcW w:w="6" w:type="dxa"/>
                  <w:tcBorders>
                    <w:top w:val="nil"/>
                    <w:left w:val="nil"/>
                    <w:bottom w:val="nil"/>
                    <w:right w:val="nil"/>
                  </w:tcBorders>
                  <w:vAlign w:val="bottom"/>
                  <w:hideMark/>
                </w:tcPr>
                <w:tbl>
                  <w:tblPr>
                    <w:tblW w:w="570" w:type="dxa"/>
                    <w:tblCellMar>
                      <w:left w:w="0" w:type="dxa"/>
                      <w:right w:w="0" w:type="dxa"/>
                    </w:tblCellMar>
                    <w:tblLook w:val="04A0" w:firstRow="1" w:lastRow="0" w:firstColumn="1" w:lastColumn="0" w:noHBand="0" w:noVBand="1"/>
                  </w:tblPr>
                  <w:tblGrid>
                    <w:gridCol w:w="570"/>
                  </w:tblGrid>
                  <w:tr w:rsidR="00367FE5" w:rsidRPr="00367FE5" w:rsidTr="00367FE5">
                    <w:tc>
                      <w:tcPr>
                        <w:tcW w:w="6" w:type="dxa"/>
                        <w:tcBorders>
                          <w:top w:val="nil"/>
                          <w:left w:val="nil"/>
                          <w:bottom w:val="nil"/>
                          <w:right w:val="nil"/>
                        </w:tcBorders>
                        <w:vAlign w:val="center"/>
                        <w:hideMark/>
                      </w:tcPr>
                      <w:p w:rsidR="00367FE5" w:rsidRPr="00367FE5" w:rsidRDefault="00367FE5" w:rsidP="00367FE5">
                        <w:pPr>
                          <w:jc w:val="center"/>
                          <w:rPr>
                            <w:rFonts w:ascii="Arial" w:eastAsia="Times New Roman" w:hAnsi="Arial" w:cs="Arial"/>
                            <w:color w:val="4D4D4D"/>
                            <w:lang w:eastAsia="en-US"/>
                          </w:rPr>
                        </w:pPr>
                      </w:p>
                    </w:tc>
                  </w:tr>
                </w:tbl>
                <w:p w:rsidR="00367FE5" w:rsidRPr="00367FE5" w:rsidRDefault="00367FE5" w:rsidP="00367FE5">
                  <w:pPr>
                    <w:textAlignment w:val="baseline"/>
                    <w:rPr>
                      <w:rFonts w:ascii="Arial" w:eastAsia="Times New Roman" w:hAnsi="Arial" w:cs="Arial"/>
                      <w:color w:val="4D4D4D"/>
                      <w:lang w:eastAsia="en-US"/>
                    </w:rPr>
                  </w:pPr>
                </w:p>
              </w:tc>
            </w:tr>
          </w:tbl>
          <w:p w:rsidR="00367FE5" w:rsidRPr="00367FE5" w:rsidRDefault="00367FE5" w:rsidP="00367FE5">
            <w:pPr>
              <w:textAlignment w:val="baseline"/>
              <w:rPr>
                <w:rFonts w:ascii="Arial" w:eastAsia="Times New Roman" w:hAnsi="Arial" w:cs="Arial"/>
                <w:color w:val="4D4D4D"/>
                <w:lang w:eastAsia="en-US"/>
              </w:rPr>
            </w:pPr>
          </w:p>
        </w:tc>
        <w:tc>
          <w:tcPr>
            <w:tcW w:w="1158" w:type="dxa"/>
            <w:tcBorders>
              <w:top w:val="nil"/>
              <w:left w:val="nil"/>
              <w:bottom w:val="nil"/>
              <w:right w:val="nil"/>
            </w:tcBorders>
            <w:noWrap/>
            <w:vAlign w:val="center"/>
            <w:hideMark/>
          </w:tcPr>
          <w:tbl>
            <w:tblPr>
              <w:tblW w:w="0" w:type="dxa"/>
              <w:tblCellMar>
                <w:left w:w="0" w:type="dxa"/>
                <w:right w:w="0" w:type="dxa"/>
              </w:tblCellMar>
              <w:tblLook w:val="04A0" w:firstRow="1" w:lastRow="0" w:firstColumn="1" w:lastColumn="0" w:noHBand="0" w:noVBand="1"/>
            </w:tblPr>
            <w:tblGrid>
              <w:gridCol w:w="332"/>
              <w:gridCol w:w="570"/>
            </w:tblGrid>
            <w:tr w:rsidR="00367FE5" w:rsidRPr="00367FE5" w:rsidTr="00367FE5">
              <w:tc>
                <w:tcPr>
                  <w:tcW w:w="6" w:type="dxa"/>
                  <w:tcBorders>
                    <w:top w:val="nil"/>
                    <w:left w:val="nil"/>
                    <w:bottom w:val="nil"/>
                    <w:right w:val="nil"/>
                  </w:tcBorders>
                  <w:vAlign w:val="center"/>
                  <w:hideMark/>
                </w:tcPr>
                <w:tbl>
                  <w:tblPr>
                    <w:tblW w:w="0" w:type="dxa"/>
                    <w:tblCellMar>
                      <w:left w:w="0" w:type="dxa"/>
                      <w:right w:w="0" w:type="dxa"/>
                    </w:tblCellMar>
                    <w:tblLook w:val="04A0" w:firstRow="1" w:lastRow="0" w:firstColumn="1" w:lastColumn="0" w:noHBand="0" w:noVBand="1"/>
                  </w:tblPr>
                  <w:tblGrid>
                    <w:gridCol w:w="6"/>
                    <w:gridCol w:w="320"/>
                    <w:gridCol w:w="6"/>
                  </w:tblGrid>
                  <w:tr w:rsidR="00367FE5" w:rsidRPr="00367FE5" w:rsidTr="00367FE5">
                    <w:tc>
                      <w:tcPr>
                        <w:tcW w:w="6" w:type="dxa"/>
                        <w:tcBorders>
                          <w:top w:val="nil"/>
                          <w:left w:val="nil"/>
                          <w:bottom w:val="nil"/>
                          <w:right w:val="nil"/>
                        </w:tcBorders>
                        <w:vAlign w:val="bottom"/>
                        <w:hideMark/>
                      </w:tcPr>
                      <w:p w:rsidR="00367FE5" w:rsidRPr="00367FE5" w:rsidRDefault="00367FE5" w:rsidP="00367FE5">
                        <w:pPr>
                          <w:rPr>
                            <w:rFonts w:ascii="Arial" w:eastAsia="Times New Roman" w:hAnsi="Arial" w:cs="Arial"/>
                            <w:color w:val="4D4D4D"/>
                            <w:lang w:eastAsia="en-US"/>
                          </w:rPr>
                        </w:pPr>
                      </w:p>
                    </w:tc>
                    <w:tc>
                      <w:tcPr>
                        <w:tcW w:w="6" w:type="dxa"/>
                        <w:tcBorders>
                          <w:top w:val="nil"/>
                          <w:left w:val="nil"/>
                          <w:bottom w:val="nil"/>
                          <w:right w:val="nil"/>
                        </w:tcBorders>
                        <w:vAlign w:val="center"/>
                        <w:hideMark/>
                      </w:tcPr>
                      <w:p w:rsidR="00367FE5" w:rsidRPr="00367FE5" w:rsidRDefault="00367FE5" w:rsidP="00367FE5">
                        <w:pPr>
                          <w:rPr>
                            <w:rFonts w:ascii="Arial" w:eastAsia="Times New Roman" w:hAnsi="Arial" w:cs="Arial"/>
                            <w:color w:val="4D4D4D"/>
                            <w:lang w:eastAsia="en-US"/>
                          </w:rPr>
                        </w:pPr>
                        <w:r w:rsidRPr="00367FE5">
                          <w:rPr>
                            <w:rFonts w:ascii="Arial" w:eastAsia="Times New Roman" w:hAnsi="Arial" w:cs="Arial"/>
                            <w:noProof/>
                            <w:color w:val="4D4D4D"/>
                            <w:lang w:eastAsia="en-US"/>
                          </w:rPr>
                          <w:drawing>
                            <wp:inline distT="0" distB="0" distL="0" distR="0" wp14:anchorId="6A0B6BC1" wp14:editId="5331AD7E">
                              <wp:extent cx="203200" cy="203200"/>
                              <wp:effectExtent l="0" t="0" r="0" b="0"/>
                              <wp:docPr id="4" name="tgamShareBar-reaction3-icon_img" descr="https://cdns.gigya.com/gs/i/shareBar/icons/linked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gamShareBar-reaction3-icon_img" descr="https://cdns.gigya.com/gs/i/shareBar/icons/linkedi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tc>
                    <w:tc>
                      <w:tcPr>
                        <w:tcW w:w="6" w:type="dxa"/>
                        <w:tcBorders>
                          <w:top w:val="nil"/>
                          <w:left w:val="nil"/>
                          <w:bottom w:val="nil"/>
                          <w:right w:val="nil"/>
                        </w:tcBorders>
                        <w:vAlign w:val="bottom"/>
                        <w:hideMark/>
                      </w:tcPr>
                      <w:p w:rsidR="00367FE5" w:rsidRPr="00367FE5" w:rsidRDefault="00367FE5" w:rsidP="00367FE5">
                        <w:pPr>
                          <w:rPr>
                            <w:rFonts w:ascii="Arial" w:eastAsia="Times New Roman" w:hAnsi="Arial" w:cs="Arial"/>
                            <w:color w:val="4D4D4D"/>
                            <w:lang w:eastAsia="en-US"/>
                          </w:rPr>
                        </w:pPr>
                      </w:p>
                    </w:tc>
                  </w:tr>
                </w:tbl>
                <w:p w:rsidR="00367FE5" w:rsidRPr="00367FE5" w:rsidRDefault="00367FE5" w:rsidP="00367FE5">
                  <w:pPr>
                    <w:textAlignment w:val="baseline"/>
                    <w:rPr>
                      <w:rFonts w:ascii="Arial" w:eastAsia="Times New Roman" w:hAnsi="Arial" w:cs="Arial"/>
                      <w:color w:val="4D4D4D"/>
                      <w:lang w:eastAsia="en-US"/>
                    </w:rPr>
                  </w:pPr>
                </w:p>
              </w:tc>
              <w:tc>
                <w:tcPr>
                  <w:tcW w:w="6" w:type="dxa"/>
                  <w:tcBorders>
                    <w:top w:val="nil"/>
                    <w:left w:val="nil"/>
                    <w:bottom w:val="nil"/>
                    <w:right w:val="nil"/>
                  </w:tcBorders>
                  <w:vAlign w:val="bottom"/>
                  <w:hideMark/>
                </w:tcPr>
                <w:tbl>
                  <w:tblPr>
                    <w:tblW w:w="570" w:type="dxa"/>
                    <w:tblCellMar>
                      <w:left w:w="0" w:type="dxa"/>
                      <w:right w:w="0" w:type="dxa"/>
                    </w:tblCellMar>
                    <w:tblLook w:val="04A0" w:firstRow="1" w:lastRow="0" w:firstColumn="1" w:lastColumn="0" w:noHBand="0" w:noVBand="1"/>
                  </w:tblPr>
                  <w:tblGrid>
                    <w:gridCol w:w="570"/>
                  </w:tblGrid>
                  <w:tr w:rsidR="00367FE5" w:rsidRPr="00367FE5" w:rsidTr="00367FE5">
                    <w:tc>
                      <w:tcPr>
                        <w:tcW w:w="6" w:type="dxa"/>
                        <w:tcBorders>
                          <w:top w:val="nil"/>
                          <w:left w:val="nil"/>
                          <w:bottom w:val="nil"/>
                          <w:right w:val="nil"/>
                        </w:tcBorders>
                        <w:vAlign w:val="center"/>
                        <w:hideMark/>
                      </w:tcPr>
                      <w:p w:rsidR="00367FE5" w:rsidRPr="00367FE5" w:rsidRDefault="00367FE5" w:rsidP="00367FE5">
                        <w:pPr>
                          <w:rPr>
                            <w:rFonts w:ascii="Arial" w:eastAsia="Times New Roman" w:hAnsi="Arial" w:cs="Arial"/>
                            <w:color w:val="4D4D4D"/>
                            <w:lang w:eastAsia="en-US"/>
                          </w:rPr>
                        </w:pPr>
                      </w:p>
                    </w:tc>
                  </w:tr>
                </w:tbl>
                <w:p w:rsidR="00367FE5" w:rsidRPr="00367FE5" w:rsidRDefault="00367FE5" w:rsidP="00367FE5">
                  <w:pPr>
                    <w:textAlignment w:val="baseline"/>
                    <w:rPr>
                      <w:rFonts w:ascii="Arial" w:eastAsia="Times New Roman" w:hAnsi="Arial" w:cs="Arial"/>
                      <w:color w:val="4D4D4D"/>
                      <w:lang w:eastAsia="en-US"/>
                    </w:rPr>
                  </w:pPr>
                </w:p>
              </w:tc>
            </w:tr>
          </w:tbl>
          <w:p w:rsidR="00367FE5" w:rsidRPr="00367FE5" w:rsidRDefault="00367FE5" w:rsidP="00367FE5">
            <w:pPr>
              <w:textAlignment w:val="baseline"/>
              <w:rPr>
                <w:rFonts w:ascii="Arial" w:eastAsia="Times New Roman" w:hAnsi="Arial" w:cs="Arial"/>
                <w:color w:val="4D4D4D"/>
                <w:lang w:eastAsia="en-US"/>
              </w:rPr>
            </w:pPr>
          </w:p>
        </w:tc>
        <w:tc>
          <w:tcPr>
            <w:tcW w:w="679" w:type="dxa"/>
            <w:tcBorders>
              <w:top w:val="nil"/>
              <w:left w:val="nil"/>
              <w:bottom w:val="nil"/>
              <w:right w:val="nil"/>
            </w:tcBorders>
            <w:noWrap/>
            <w:vAlign w:val="bottom"/>
            <w:hideMark/>
          </w:tcPr>
          <w:p w:rsidR="00367FE5" w:rsidRPr="00367FE5" w:rsidRDefault="00367FE5" w:rsidP="00367FE5">
            <w:pPr>
              <w:rPr>
                <w:rFonts w:ascii="Arial" w:eastAsia="Times New Roman" w:hAnsi="Arial" w:cs="Arial"/>
                <w:color w:val="4D4D4D"/>
                <w:lang w:eastAsia="en-US"/>
              </w:rPr>
            </w:pPr>
          </w:p>
        </w:tc>
      </w:tr>
    </w:tbl>
    <w:p w:rsidR="00367FE5" w:rsidRPr="00367FE5" w:rsidRDefault="00367FE5" w:rsidP="00367FE5">
      <w:pPr>
        <w:shd w:val="clear" w:color="auto" w:fill="EEEEEE"/>
        <w:spacing w:line="225" w:lineRule="atLeast"/>
        <w:textAlignment w:val="baseline"/>
        <w:rPr>
          <w:rFonts w:ascii="Georgia" w:eastAsia="Times New Roman" w:hAnsi="Georgia" w:cs="Times New Roman"/>
          <w:color w:val="000000"/>
          <w:lang w:eastAsia="en-US"/>
        </w:rPr>
      </w:pPr>
      <w:r w:rsidRPr="00367FE5">
        <w:rPr>
          <w:rFonts w:ascii="Georgia" w:eastAsia="Times New Roman" w:hAnsi="Georgia" w:cs="Times New Roman"/>
          <w:color w:val="000000"/>
          <w:lang w:eastAsia="en-US"/>
        </w:rPr>
        <w:t> </w:t>
      </w:r>
    </w:p>
    <w:p w:rsidR="00367FE5" w:rsidRPr="00367FE5" w:rsidRDefault="00367FE5" w:rsidP="00367FE5">
      <w:pPr>
        <w:spacing w:after="300"/>
        <w:textAlignment w:val="baseline"/>
        <w:rPr>
          <w:rFonts w:ascii="Helvetica" w:hAnsi="Helvetica" w:cs="Times New Roman"/>
          <w:color w:val="000000"/>
          <w:lang w:eastAsia="en-US"/>
        </w:rPr>
      </w:pPr>
      <w:r w:rsidRPr="00367FE5">
        <w:rPr>
          <w:rFonts w:ascii="Helvetica" w:hAnsi="Helvetica" w:cs="Times New Roman"/>
          <w:color w:val="000000"/>
          <w:lang w:eastAsia="en-US"/>
        </w:rPr>
        <w:t xml:space="preserve">Medieval churches were so convinced of music’s mind-altering powers that they forbade dissonant chords such as the </w:t>
      </w:r>
      <w:proofErr w:type="spellStart"/>
      <w:r w:rsidRPr="00367FE5">
        <w:rPr>
          <w:rFonts w:ascii="Helvetica" w:hAnsi="Helvetica" w:cs="Times New Roman"/>
          <w:color w:val="000000"/>
          <w:lang w:eastAsia="en-US"/>
        </w:rPr>
        <w:t>tritone</w:t>
      </w:r>
      <w:proofErr w:type="spellEnd"/>
      <w:r w:rsidRPr="00367FE5">
        <w:rPr>
          <w:rFonts w:ascii="Helvetica" w:hAnsi="Helvetica" w:cs="Times New Roman"/>
          <w:color w:val="000000"/>
          <w:lang w:eastAsia="en-US"/>
        </w:rPr>
        <w:t>, the “Devil in music,” believed to incite demonic acts. Although their fears were unfounded, the priests were right about one thing: Music really can rewire the brain.</w:t>
      </w:r>
    </w:p>
    <w:p w:rsidR="00367FE5" w:rsidRPr="00367FE5" w:rsidRDefault="00367FE5" w:rsidP="00367FE5">
      <w:pPr>
        <w:spacing w:after="300"/>
        <w:textAlignment w:val="baseline"/>
        <w:rPr>
          <w:rFonts w:ascii="Helvetica" w:hAnsi="Helvetica" w:cs="Times New Roman"/>
          <w:color w:val="000000"/>
          <w:lang w:eastAsia="en-US"/>
        </w:rPr>
      </w:pPr>
      <w:r w:rsidRPr="00367FE5">
        <w:rPr>
          <w:rFonts w:ascii="Helvetica" w:hAnsi="Helvetica" w:cs="Times New Roman"/>
          <w:color w:val="000000"/>
          <w:lang w:eastAsia="en-US"/>
        </w:rPr>
        <w:t>Neuroscientists are studying music as a medical intervention for patients with conditions such as stroke, speech loss and Parkinson’s disease.</w:t>
      </w:r>
    </w:p>
    <w:p w:rsidR="00367FE5" w:rsidRPr="00367FE5" w:rsidRDefault="00367FE5" w:rsidP="00367FE5">
      <w:pPr>
        <w:spacing w:after="300"/>
        <w:textAlignment w:val="baseline"/>
        <w:rPr>
          <w:rFonts w:ascii="Helvetica" w:hAnsi="Helvetica" w:cs="Times New Roman"/>
          <w:color w:val="000000"/>
          <w:lang w:eastAsia="en-US"/>
        </w:rPr>
      </w:pPr>
      <w:r w:rsidRPr="00367FE5">
        <w:rPr>
          <w:rFonts w:ascii="Helvetica" w:hAnsi="Helvetica" w:cs="Times New Roman"/>
          <w:color w:val="000000"/>
          <w:lang w:eastAsia="en-US"/>
        </w:rPr>
        <w:t>The interventions are similar to those used in music therapy, a centuries-old approach to treating mood disorders and other conditions. The difference is that academic researchers, many of them based in Canada, are investigating music’s healing potential using brain imaging and other high-tech tools.</w:t>
      </w:r>
    </w:p>
    <w:p w:rsidR="00367FE5" w:rsidRPr="00367FE5" w:rsidRDefault="00367FE5" w:rsidP="00367FE5">
      <w:pPr>
        <w:spacing w:after="300"/>
        <w:textAlignment w:val="baseline"/>
        <w:rPr>
          <w:rFonts w:ascii="Helvetica" w:hAnsi="Helvetica" w:cs="Times New Roman"/>
          <w:color w:val="000000"/>
          <w:lang w:eastAsia="en-US"/>
        </w:rPr>
      </w:pPr>
      <w:r w:rsidRPr="00367FE5">
        <w:rPr>
          <w:rFonts w:ascii="Helvetica" w:hAnsi="Helvetica" w:cs="Times New Roman"/>
          <w:color w:val="000000"/>
          <w:lang w:eastAsia="en-US"/>
        </w:rPr>
        <w:t xml:space="preserve">Unlike drug therapies or surgical brain implants, musical interventions are safe, enjoyable and noninvasive, notes Jessica </w:t>
      </w:r>
      <w:proofErr w:type="spellStart"/>
      <w:r w:rsidRPr="00367FE5">
        <w:rPr>
          <w:rFonts w:ascii="Helvetica" w:hAnsi="Helvetica" w:cs="Times New Roman"/>
          <w:color w:val="000000"/>
          <w:lang w:eastAsia="en-US"/>
        </w:rPr>
        <w:t>Grahn</w:t>
      </w:r>
      <w:proofErr w:type="spellEnd"/>
      <w:r w:rsidRPr="00367FE5">
        <w:rPr>
          <w:rFonts w:ascii="Helvetica" w:hAnsi="Helvetica" w:cs="Times New Roman"/>
          <w:color w:val="000000"/>
          <w:lang w:eastAsia="en-US"/>
        </w:rPr>
        <w:t xml:space="preserve">, a neuroscientist at the </w:t>
      </w:r>
      <w:proofErr w:type="gramStart"/>
      <w:r w:rsidRPr="00367FE5">
        <w:rPr>
          <w:rFonts w:ascii="Helvetica" w:hAnsi="Helvetica" w:cs="Times New Roman"/>
          <w:color w:val="000000"/>
          <w:lang w:eastAsia="en-US"/>
        </w:rPr>
        <w:t>University of Western Ontario.</w:t>
      </w:r>
      <w:proofErr w:type="gramEnd"/>
      <w:r w:rsidRPr="00367FE5">
        <w:rPr>
          <w:rFonts w:ascii="Helvetica" w:hAnsi="Helvetica" w:cs="Times New Roman"/>
          <w:color w:val="000000"/>
          <w:lang w:eastAsia="en-US"/>
        </w:rPr>
        <w:t xml:space="preserve"> “There is essentially no downside.”</w:t>
      </w:r>
    </w:p>
    <w:p w:rsidR="00367FE5" w:rsidRPr="00367FE5" w:rsidRDefault="00367FE5" w:rsidP="00367FE5">
      <w:pPr>
        <w:spacing w:after="300"/>
        <w:textAlignment w:val="baseline"/>
        <w:rPr>
          <w:rFonts w:ascii="Helvetica" w:hAnsi="Helvetica" w:cs="Times New Roman"/>
          <w:color w:val="000000"/>
          <w:lang w:eastAsia="en-US"/>
        </w:rPr>
      </w:pPr>
      <w:r w:rsidRPr="00367FE5">
        <w:rPr>
          <w:rFonts w:ascii="Helvetica" w:hAnsi="Helvetica" w:cs="Times New Roman"/>
          <w:color w:val="000000"/>
          <w:lang w:eastAsia="en-US"/>
        </w:rPr>
        <w:t xml:space="preserve">Dr. </w:t>
      </w:r>
      <w:proofErr w:type="spellStart"/>
      <w:r w:rsidRPr="00367FE5">
        <w:rPr>
          <w:rFonts w:ascii="Helvetica" w:hAnsi="Helvetica" w:cs="Times New Roman"/>
          <w:color w:val="000000"/>
          <w:lang w:eastAsia="en-US"/>
        </w:rPr>
        <w:t>Grahn</w:t>
      </w:r>
      <w:proofErr w:type="spellEnd"/>
      <w:r w:rsidRPr="00367FE5">
        <w:rPr>
          <w:rFonts w:ascii="Helvetica" w:hAnsi="Helvetica" w:cs="Times New Roman"/>
          <w:color w:val="000000"/>
          <w:lang w:eastAsia="en-US"/>
        </w:rPr>
        <w:t xml:space="preserve"> is heading a new lab to study how the brain processes music and whether specific characteristics of music can help patients with movement disorders improve their gait.</w:t>
      </w:r>
    </w:p>
    <w:p w:rsidR="00367FE5" w:rsidRPr="00367FE5" w:rsidRDefault="00367FE5" w:rsidP="00367FE5">
      <w:pPr>
        <w:spacing w:after="300"/>
        <w:textAlignment w:val="baseline"/>
        <w:rPr>
          <w:rFonts w:ascii="Helvetica" w:hAnsi="Helvetica" w:cs="Times New Roman"/>
          <w:color w:val="000000"/>
          <w:lang w:eastAsia="en-US"/>
        </w:rPr>
      </w:pPr>
      <w:r w:rsidRPr="00367FE5">
        <w:rPr>
          <w:rFonts w:ascii="Helvetica" w:hAnsi="Helvetica" w:cs="Times New Roman"/>
          <w:color w:val="000000"/>
          <w:lang w:eastAsia="en-US"/>
        </w:rPr>
        <w:t xml:space="preserve">Researchers will use functional MRI to see which motor areas of the brain are activated in listening to music. The lab, due to open by fall, will include a mat equipped with sensors in a walkway. Using computer software to analyze data, Dr. </w:t>
      </w:r>
      <w:proofErr w:type="spellStart"/>
      <w:r w:rsidRPr="00367FE5">
        <w:rPr>
          <w:rFonts w:ascii="Helvetica" w:hAnsi="Helvetica" w:cs="Times New Roman"/>
          <w:color w:val="000000"/>
          <w:lang w:eastAsia="en-US"/>
        </w:rPr>
        <w:t>Grahn’s</w:t>
      </w:r>
      <w:proofErr w:type="spellEnd"/>
      <w:r w:rsidRPr="00367FE5">
        <w:rPr>
          <w:rFonts w:ascii="Helvetica" w:hAnsi="Helvetica" w:cs="Times New Roman"/>
          <w:color w:val="000000"/>
          <w:lang w:eastAsia="en-US"/>
        </w:rPr>
        <w:t xml:space="preserve"> team will assess whether listening to pulsations affects things like the symmetry between the stride, “which is really important for balance in Parkinson’s patients,” she says.</w:t>
      </w:r>
    </w:p>
    <w:p w:rsidR="00367FE5" w:rsidRPr="00367FE5" w:rsidRDefault="00367FE5" w:rsidP="00367FE5">
      <w:pPr>
        <w:spacing w:after="300"/>
        <w:textAlignment w:val="baseline"/>
        <w:rPr>
          <w:rFonts w:ascii="Helvetica" w:hAnsi="Helvetica" w:cs="Times New Roman"/>
          <w:color w:val="000000"/>
          <w:lang w:eastAsia="en-US"/>
        </w:rPr>
      </w:pPr>
      <w:r w:rsidRPr="00367FE5">
        <w:rPr>
          <w:rFonts w:ascii="Helvetica" w:hAnsi="Helvetica" w:cs="Times New Roman"/>
          <w:color w:val="000000"/>
          <w:lang w:eastAsia="en-US"/>
        </w:rPr>
        <w:t xml:space="preserve">Meanwhile, in Toronto, neuroscientist </w:t>
      </w:r>
      <w:proofErr w:type="spellStart"/>
      <w:r w:rsidRPr="00367FE5">
        <w:rPr>
          <w:rFonts w:ascii="Helvetica" w:hAnsi="Helvetica" w:cs="Times New Roman"/>
          <w:color w:val="000000"/>
          <w:lang w:eastAsia="en-US"/>
        </w:rPr>
        <w:t>Takako</w:t>
      </w:r>
      <w:proofErr w:type="spellEnd"/>
      <w:r w:rsidRPr="00367FE5">
        <w:rPr>
          <w:rFonts w:ascii="Helvetica" w:hAnsi="Helvetica" w:cs="Times New Roman"/>
          <w:color w:val="000000"/>
          <w:lang w:eastAsia="en-US"/>
        </w:rPr>
        <w:t xml:space="preserve"> Fujioka is studying musical interventions in stroke patients at </w:t>
      </w:r>
      <w:proofErr w:type="spellStart"/>
      <w:r w:rsidRPr="00367FE5">
        <w:rPr>
          <w:rFonts w:ascii="Helvetica" w:hAnsi="Helvetica" w:cs="Times New Roman"/>
          <w:color w:val="000000"/>
          <w:lang w:eastAsia="en-US"/>
        </w:rPr>
        <w:t>Baycrest’s</w:t>
      </w:r>
      <w:proofErr w:type="spellEnd"/>
      <w:r w:rsidRPr="00367FE5">
        <w:rPr>
          <w:rFonts w:ascii="Helvetica" w:hAnsi="Helvetica" w:cs="Times New Roman"/>
          <w:color w:val="000000"/>
          <w:lang w:eastAsia="en-US"/>
        </w:rPr>
        <w:t xml:space="preserve"> </w:t>
      </w:r>
      <w:proofErr w:type="spellStart"/>
      <w:r w:rsidRPr="00367FE5">
        <w:rPr>
          <w:rFonts w:ascii="Helvetica" w:hAnsi="Helvetica" w:cs="Times New Roman"/>
          <w:color w:val="000000"/>
          <w:lang w:eastAsia="en-US"/>
        </w:rPr>
        <w:t>Rotman</w:t>
      </w:r>
      <w:proofErr w:type="spellEnd"/>
      <w:r w:rsidRPr="00367FE5">
        <w:rPr>
          <w:rFonts w:ascii="Helvetica" w:hAnsi="Helvetica" w:cs="Times New Roman"/>
          <w:color w:val="000000"/>
          <w:lang w:eastAsia="en-US"/>
        </w:rPr>
        <w:t xml:space="preserve"> Research Institute. Dr. Fujioka has just secured funding to conduct a three-year study involving 60 stroke patients with movement problems in one hand – one of the most lingering disabilities among stroke survivors.</w:t>
      </w:r>
    </w:p>
    <w:p w:rsidR="00367FE5" w:rsidRPr="00367FE5" w:rsidRDefault="00367FE5" w:rsidP="00367FE5">
      <w:pPr>
        <w:spacing w:after="300"/>
        <w:textAlignment w:val="baseline"/>
        <w:rPr>
          <w:rFonts w:ascii="Helvetica" w:hAnsi="Helvetica" w:cs="Times New Roman"/>
          <w:color w:val="000000"/>
          <w:lang w:eastAsia="en-US"/>
        </w:rPr>
      </w:pPr>
      <w:r w:rsidRPr="00367FE5">
        <w:rPr>
          <w:rFonts w:ascii="Helvetica" w:hAnsi="Helvetica" w:cs="Times New Roman"/>
          <w:color w:val="000000"/>
          <w:lang w:eastAsia="en-US"/>
        </w:rPr>
        <w:t xml:space="preserve">Researchers will randomly select patients to receive physiotherapy or participate in activities such as hitting a drum to a beat using a stick, palm or fist. Patients </w:t>
      </w:r>
      <w:r w:rsidRPr="00367FE5">
        <w:rPr>
          <w:rFonts w:ascii="Helvetica" w:hAnsi="Helvetica" w:cs="Times New Roman"/>
          <w:color w:val="000000"/>
          <w:lang w:eastAsia="en-US"/>
        </w:rPr>
        <w:lastRenderedPageBreak/>
        <w:t xml:space="preserve">will wear helmets equipped with sensors used for </w:t>
      </w:r>
      <w:proofErr w:type="spellStart"/>
      <w:r w:rsidRPr="00367FE5">
        <w:rPr>
          <w:rFonts w:ascii="Helvetica" w:hAnsi="Helvetica" w:cs="Times New Roman"/>
          <w:color w:val="000000"/>
          <w:lang w:eastAsia="en-US"/>
        </w:rPr>
        <w:t>magnetoencephalography</w:t>
      </w:r>
      <w:proofErr w:type="spellEnd"/>
      <w:r w:rsidRPr="00367FE5">
        <w:rPr>
          <w:rFonts w:ascii="Helvetica" w:hAnsi="Helvetica" w:cs="Times New Roman"/>
          <w:color w:val="000000"/>
          <w:lang w:eastAsia="en-US"/>
        </w:rPr>
        <w:t xml:space="preserve"> (MEG), a technique for mapping brain activity.</w:t>
      </w:r>
    </w:p>
    <w:p w:rsidR="00367FE5" w:rsidRPr="00367FE5" w:rsidRDefault="00367FE5" w:rsidP="00367FE5">
      <w:pPr>
        <w:spacing w:after="300"/>
        <w:textAlignment w:val="baseline"/>
        <w:rPr>
          <w:rFonts w:ascii="Helvetica" w:hAnsi="Helvetica" w:cs="Times New Roman"/>
          <w:color w:val="000000"/>
          <w:lang w:eastAsia="en-US"/>
        </w:rPr>
      </w:pPr>
      <w:r w:rsidRPr="00367FE5">
        <w:rPr>
          <w:rFonts w:ascii="Helvetica" w:hAnsi="Helvetica" w:cs="Times New Roman"/>
          <w:color w:val="000000"/>
          <w:lang w:eastAsia="en-US"/>
        </w:rPr>
        <w:t>In an earlier study, Dr. Fujioka found that listening to the beat of a metronome and tapping a finger to a metronome used the same parts of the brain. Dr. Fujioka hypothesizes that the sense of timing embedded in music may engage auditory memory and motor control in ways that conventional therapies do not. “Our interest is to see how the brain rewires after a stroke if you do the exercises in such a multimodal way,” she explains.</w:t>
      </w:r>
    </w:p>
    <w:p w:rsidR="00367FE5" w:rsidRPr="00367FE5" w:rsidRDefault="00367FE5" w:rsidP="00367FE5">
      <w:pPr>
        <w:spacing w:after="300"/>
        <w:textAlignment w:val="baseline"/>
        <w:rPr>
          <w:rFonts w:ascii="Helvetica" w:hAnsi="Helvetica" w:cs="Times New Roman"/>
          <w:color w:val="000000"/>
          <w:lang w:eastAsia="en-US"/>
        </w:rPr>
      </w:pPr>
      <w:r w:rsidRPr="00367FE5">
        <w:rPr>
          <w:rFonts w:ascii="Helvetica" w:hAnsi="Helvetica" w:cs="Times New Roman"/>
          <w:color w:val="000000"/>
          <w:lang w:eastAsia="en-US"/>
        </w:rPr>
        <w:t xml:space="preserve">In the near future, Dr. Fujioka and colleagues throughout Ontario may combine their efforts at the University of Toronto’s new Music and Health Research </w:t>
      </w:r>
      <w:proofErr w:type="spellStart"/>
      <w:r w:rsidRPr="00367FE5">
        <w:rPr>
          <w:rFonts w:ascii="Helvetica" w:hAnsi="Helvetica" w:cs="Times New Roman"/>
          <w:color w:val="000000"/>
          <w:lang w:eastAsia="en-US"/>
        </w:rPr>
        <w:t>Collaboratory</w:t>
      </w:r>
      <w:proofErr w:type="spellEnd"/>
      <w:r w:rsidRPr="00367FE5">
        <w:rPr>
          <w:rFonts w:ascii="Helvetica" w:hAnsi="Helvetica" w:cs="Times New Roman"/>
          <w:color w:val="000000"/>
          <w:lang w:eastAsia="en-US"/>
        </w:rPr>
        <w:t xml:space="preserve">. Operating within the faculty of music building, the initiative will bring together experts in </w:t>
      </w:r>
      <w:proofErr w:type="gramStart"/>
      <w:r w:rsidRPr="00367FE5">
        <w:rPr>
          <w:rFonts w:ascii="Helvetica" w:hAnsi="Helvetica" w:cs="Times New Roman"/>
          <w:color w:val="000000"/>
          <w:lang w:eastAsia="en-US"/>
        </w:rPr>
        <w:t>medicine,</w:t>
      </w:r>
      <w:proofErr w:type="gramEnd"/>
      <w:r w:rsidRPr="00367FE5">
        <w:rPr>
          <w:rFonts w:ascii="Helvetica" w:hAnsi="Helvetica" w:cs="Times New Roman"/>
          <w:color w:val="000000"/>
          <w:lang w:eastAsia="en-US"/>
        </w:rPr>
        <w:t xml:space="preserve"> neuroscience and psychology to decode how musical interventions work and explore the limits of their potential.</w:t>
      </w:r>
    </w:p>
    <w:p w:rsidR="00367FE5" w:rsidRPr="00367FE5" w:rsidRDefault="00367FE5" w:rsidP="00367FE5">
      <w:pPr>
        <w:spacing w:after="300"/>
        <w:textAlignment w:val="baseline"/>
        <w:rPr>
          <w:rFonts w:ascii="Helvetica" w:hAnsi="Helvetica" w:cs="Times New Roman"/>
          <w:color w:val="000000"/>
          <w:lang w:eastAsia="en-US"/>
        </w:rPr>
      </w:pPr>
      <w:r w:rsidRPr="00367FE5">
        <w:rPr>
          <w:rFonts w:ascii="Helvetica" w:hAnsi="Helvetica" w:cs="Times New Roman"/>
          <w:color w:val="000000"/>
          <w:lang w:eastAsia="en-US"/>
        </w:rPr>
        <w:t>Similar work is under way at other facilities including the International Laboratory for Brain, Music and Sound Research, jointly affiliated with the University of Montreal and McGill University, and Beth Israel Medical Center’s Louis Armstrong Center for Music and Medicine in New York.</w:t>
      </w:r>
    </w:p>
    <w:p w:rsidR="00367FE5" w:rsidRPr="00367FE5" w:rsidRDefault="00367FE5" w:rsidP="00367FE5">
      <w:pPr>
        <w:spacing w:after="300"/>
        <w:textAlignment w:val="baseline"/>
        <w:rPr>
          <w:rFonts w:ascii="Helvetica" w:hAnsi="Helvetica" w:cs="Times New Roman"/>
          <w:color w:val="000000"/>
          <w:lang w:eastAsia="en-US"/>
        </w:rPr>
      </w:pPr>
      <w:r w:rsidRPr="00367FE5">
        <w:rPr>
          <w:rFonts w:ascii="Helvetica" w:hAnsi="Helvetica" w:cs="Times New Roman"/>
          <w:color w:val="000000"/>
          <w:lang w:eastAsia="en-US"/>
        </w:rPr>
        <w:t>The challenge of studying musical interventions is that it’s tough to design a double-blind study comparing them with conventional therapies, specialists say. Although thousands of studies have been done on music therapy, the sample sizes have been small and the variables difficult to control.</w:t>
      </w:r>
    </w:p>
    <w:p w:rsidR="00367FE5" w:rsidRPr="00367FE5" w:rsidRDefault="00367FE5" w:rsidP="00367FE5">
      <w:pPr>
        <w:spacing w:after="300"/>
        <w:textAlignment w:val="baseline"/>
        <w:rPr>
          <w:rFonts w:ascii="Helvetica" w:hAnsi="Helvetica" w:cs="Times New Roman"/>
          <w:color w:val="000000"/>
          <w:lang w:eastAsia="en-US"/>
        </w:rPr>
      </w:pPr>
      <w:r w:rsidRPr="00367FE5">
        <w:rPr>
          <w:rFonts w:ascii="Helvetica" w:hAnsi="Helvetica" w:cs="Times New Roman"/>
          <w:color w:val="000000"/>
          <w:lang w:eastAsia="en-US"/>
        </w:rPr>
        <w:t>Music is complex and stimulates the brain in all kinds of ways, says Amy Clements-Cortes, a professor of music therapy at the University of Windsor. For example, her research has found that listening to live versus taped versions of the same music makes a difference in patients’ pain perception. “Live music was significantly more effective,” says Dr. Clements-Cortes, who has also studied the use of music in palliative care and in seniors with dementia.</w:t>
      </w:r>
    </w:p>
    <w:p w:rsidR="00367FE5" w:rsidRPr="00367FE5" w:rsidRDefault="00367FE5" w:rsidP="00367FE5">
      <w:pPr>
        <w:spacing w:after="300"/>
        <w:textAlignment w:val="baseline"/>
        <w:rPr>
          <w:rFonts w:ascii="Helvetica" w:hAnsi="Helvetica" w:cs="Times New Roman"/>
          <w:color w:val="000000"/>
          <w:lang w:eastAsia="en-US"/>
        </w:rPr>
      </w:pPr>
      <w:r w:rsidRPr="00367FE5">
        <w:rPr>
          <w:rFonts w:ascii="Helvetica" w:hAnsi="Helvetica" w:cs="Times New Roman"/>
          <w:color w:val="000000"/>
          <w:lang w:eastAsia="en-US"/>
        </w:rPr>
        <w:t>Musical interventions work better for some patients than others, notes Michael De Georgia, a neuroscientist and director of the Center for Music and Medicine at University Hospitals Case Medical Center in Cleveland, Ohio.</w:t>
      </w:r>
    </w:p>
    <w:p w:rsidR="00367FE5" w:rsidRPr="00367FE5" w:rsidRDefault="00367FE5" w:rsidP="00367FE5">
      <w:pPr>
        <w:textAlignment w:val="baseline"/>
        <w:rPr>
          <w:rFonts w:ascii="Helvetica" w:hAnsi="Helvetica" w:cs="Times New Roman"/>
          <w:color w:val="000000"/>
          <w:lang w:eastAsia="en-US"/>
        </w:rPr>
      </w:pPr>
      <w:r w:rsidRPr="00367FE5">
        <w:rPr>
          <w:rFonts w:ascii="Helvetica" w:hAnsi="Helvetica" w:cs="Times New Roman"/>
          <w:color w:val="000000"/>
          <w:lang w:eastAsia="en-US"/>
        </w:rPr>
        <w:t xml:space="preserve">He points out that some patients with speech loss after a stroke improve with melodic intonation therapy – a technique shown in television footage of congresswoman Gabrielle </w:t>
      </w:r>
      <w:proofErr w:type="spellStart"/>
      <w:r w:rsidRPr="00367FE5">
        <w:rPr>
          <w:rFonts w:ascii="Helvetica" w:hAnsi="Helvetica" w:cs="Times New Roman"/>
          <w:color w:val="000000"/>
          <w:lang w:eastAsia="en-US"/>
        </w:rPr>
        <w:t>Giffords’s</w:t>
      </w:r>
      <w:proofErr w:type="spellEnd"/>
      <w:r w:rsidRPr="00367FE5">
        <w:rPr>
          <w:rFonts w:ascii="Helvetica" w:hAnsi="Helvetica" w:cs="Times New Roman"/>
          <w:color w:val="000000"/>
          <w:lang w:eastAsia="en-US"/>
        </w:rPr>
        <w:t xml:space="preserve"> rehabilitation after she was shot in the head last January. Singing familiar songs, such as </w:t>
      </w:r>
      <w:r w:rsidRPr="00367FE5">
        <w:rPr>
          <w:rFonts w:ascii="Helvetica" w:hAnsi="Helvetica" w:cs="Times New Roman"/>
          <w:i/>
          <w:iCs/>
          <w:color w:val="000000"/>
          <w:bdr w:val="none" w:sz="0" w:space="0" w:color="auto" w:frame="1"/>
          <w:lang w:eastAsia="en-US"/>
        </w:rPr>
        <w:t>Happy Birthday</w:t>
      </w:r>
      <w:r w:rsidRPr="00367FE5">
        <w:rPr>
          <w:rFonts w:ascii="Helvetica" w:hAnsi="Helvetica" w:cs="Times New Roman"/>
          <w:color w:val="000000"/>
          <w:lang w:eastAsia="en-US"/>
        </w:rPr>
        <w:t>, can stimulate neurons important for melody as well as language, which are linked in the brain, Dr. De Georgia explains.</w:t>
      </w:r>
    </w:p>
    <w:p w:rsidR="00367FE5" w:rsidRPr="00367FE5" w:rsidRDefault="00367FE5" w:rsidP="00367FE5">
      <w:pPr>
        <w:spacing w:after="300"/>
        <w:textAlignment w:val="baseline"/>
        <w:rPr>
          <w:rFonts w:ascii="Helvetica" w:hAnsi="Helvetica" w:cs="Times New Roman"/>
          <w:color w:val="000000"/>
          <w:lang w:eastAsia="en-US"/>
        </w:rPr>
      </w:pPr>
      <w:r w:rsidRPr="00367FE5">
        <w:rPr>
          <w:rFonts w:ascii="Helvetica" w:hAnsi="Helvetica" w:cs="Times New Roman"/>
          <w:color w:val="000000"/>
          <w:lang w:eastAsia="en-US"/>
        </w:rPr>
        <w:t>Some patients who are completely mute “can belt out a song right then and there,” whereas others take a long time to recover language functions even with extensive music therapy, he says.</w:t>
      </w:r>
    </w:p>
    <w:p w:rsidR="00367FE5" w:rsidRPr="00367FE5" w:rsidRDefault="00367FE5" w:rsidP="00367FE5">
      <w:pPr>
        <w:spacing w:after="300"/>
        <w:textAlignment w:val="baseline"/>
        <w:rPr>
          <w:rFonts w:ascii="Helvetica" w:hAnsi="Helvetica" w:cs="Times New Roman"/>
          <w:color w:val="000000"/>
          <w:lang w:eastAsia="en-US"/>
        </w:rPr>
      </w:pPr>
      <w:r w:rsidRPr="00367FE5">
        <w:rPr>
          <w:rFonts w:ascii="Helvetica" w:hAnsi="Helvetica" w:cs="Times New Roman"/>
          <w:color w:val="000000"/>
          <w:lang w:eastAsia="en-US"/>
        </w:rPr>
        <w:t>Many of music’s therapeutic benefits remain untapped, he adds. Dr. De Georgia suggests that music may offer an alternative to the powerful anesthetics and stimulant drugs used in intensive care units.</w:t>
      </w:r>
    </w:p>
    <w:p w:rsidR="00367FE5" w:rsidRPr="00367FE5" w:rsidRDefault="00367FE5" w:rsidP="00367FE5">
      <w:pPr>
        <w:spacing w:after="300"/>
        <w:textAlignment w:val="baseline"/>
        <w:rPr>
          <w:rFonts w:ascii="Helvetica" w:hAnsi="Helvetica" w:cs="Times New Roman"/>
          <w:color w:val="000000"/>
          <w:lang w:eastAsia="en-US"/>
        </w:rPr>
      </w:pPr>
      <w:r w:rsidRPr="00367FE5">
        <w:rPr>
          <w:rFonts w:ascii="Helvetica" w:hAnsi="Helvetica" w:cs="Times New Roman"/>
          <w:color w:val="000000"/>
          <w:lang w:eastAsia="en-US"/>
        </w:rPr>
        <w:t>Studies have already shown that playing Mozart sonatas in the ICU helps lower stress hormones, he says. The question is whether doctors could use music to perk up their patients instead of relying on potent medications. “It may be healthier and safer to listen to Iron Maiden or AC/DC or heavy metal than it is to be on a norepinephrine drip,” he says.</w:t>
      </w:r>
    </w:p>
    <w:p w:rsidR="00367FE5" w:rsidRPr="00367FE5" w:rsidRDefault="00367FE5" w:rsidP="00367FE5">
      <w:pPr>
        <w:spacing w:after="300"/>
        <w:textAlignment w:val="baseline"/>
        <w:rPr>
          <w:rFonts w:ascii="Helvetica" w:hAnsi="Helvetica" w:cs="Times New Roman"/>
          <w:color w:val="000000"/>
          <w:lang w:eastAsia="en-US"/>
        </w:rPr>
      </w:pPr>
      <w:r w:rsidRPr="00367FE5">
        <w:rPr>
          <w:rFonts w:ascii="Helvetica" w:hAnsi="Helvetica" w:cs="Times New Roman"/>
          <w:color w:val="000000"/>
          <w:lang w:eastAsia="en-US"/>
        </w:rPr>
        <w:t>And the only real risk is of violating patients’ musical tastes.</w:t>
      </w:r>
    </w:p>
    <w:p w:rsidR="00367FE5" w:rsidRPr="00367FE5" w:rsidRDefault="00367FE5" w:rsidP="00367FE5">
      <w:pPr>
        <w:textAlignment w:val="baseline"/>
        <w:rPr>
          <w:rFonts w:ascii="Helvetica" w:hAnsi="Helvetica" w:cs="Times New Roman"/>
          <w:color w:val="000000"/>
          <w:lang w:eastAsia="en-US"/>
        </w:rPr>
      </w:pPr>
      <w:r w:rsidRPr="00367FE5">
        <w:rPr>
          <w:rFonts w:ascii="Helvetica" w:hAnsi="Helvetica" w:cs="Times New Roman"/>
          <w:b/>
          <w:bCs/>
          <w:color w:val="000000"/>
          <w:bdr w:val="none" w:sz="0" w:space="0" w:color="auto" w:frame="1"/>
          <w:lang w:eastAsia="en-US"/>
        </w:rPr>
        <w:t>Music on the brain</w:t>
      </w:r>
    </w:p>
    <w:p w:rsidR="00367FE5" w:rsidRPr="00367FE5" w:rsidRDefault="00367FE5" w:rsidP="00367FE5">
      <w:pPr>
        <w:textAlignment w:val="baseline"/>
        <w:rPr>
          <w:rFonts w:ascii="Helvetica" w:hAnsi="Helvetica" w:cs="Times New Roman"/>
          <w:color w:val="000000"/>
          <w:lang w:eastAsia="en-US"/>
        </w:rPr>
      </w:pPr>
      <w:r w:rsidRPr="00367FE5">
        <w:rPr>
          <w:rFonts w:ascii="Helvetica" w:hAnsi="Helvetica" w:cs="Times New Roman"/>
          <w:color w:val="000000"/>
          <w:lang w:eastAsia="en-US"/>
        </w:rPr>
        <w:t xml:space="preserve">Music’s profound effect on the brain is well known to fans of books such as Oliver </w:t>
      </w:r>
      <w:proofErr w:type="spellStart"/>
      <w:r w:rsidRPr="00367FE5">
        <w:rPr>
          <w:rFonts w:ascii="Helvetica" w:hAnsi="Helvetica" w:cs="Times New Roman"/>
          <w:color w:val="000000"/>
          <w:lang w:eastAsia="en-US"/>
        </w:rPr>
        <w:t>Sacks’s</w:t>
      </w:r>
      <w:proofErr w:type="spellEnd"/>
      <w:r w:rsidRPr="00367FE5">
        <w:rPr>
          <w:rFonts w:ascii="Helvetica" w:hAnsi="Helvetica" w:cs="Times New Roman"/>
          <w:color w:val="000000"/>
          <w:lang w:eastAsia="en-US"/>
        </w:rPr>
        <w:t> </w:t>
      </w:r>
      <w:proofErr w:type="spellStart"/>
      <w:r w:rsidRPr="00367FE5">
        <w:rPr>
          <w:rFonts w:ascii="Helvetica" w:hAnsi="Helvetica" w:cs="Times New Roman"/>
          <w:i/>
          <w:iCs/>
          <w:color w:val="000000"/>
          <w:bdr w:val="none" w:sz="0" w:space="0" w:color="auto" w:frame="1"/>
          <w:lang w:eastAsia="en-US"/>
        </w:rPr>
        <w:t>Musicophilia</w:t>
      </w:r>
      <w:proofErr w:type="spellEnd"/>
      <w:r w:rsidRPr="00367FE5">
        <w:rPr>
          <w:rFonts w:ascii="Helvetica" w:hAnsi="Helvetica" w:cs="Times New Roman"/>
          <w:color w:val="000000"/>
          <w:lang w:eastAsia="en-US"/>
        </w:rPr>
        <w:t xml:space="preserve">, Daniel J. </w:t>
      </w:r>
      <w:proofErr w:type="spellStart"/>
      <w:r w:rsidRPr="00367FE5">
        <w:rPr>
          <w:rFonts w:ascii="Helvetica" w:hAnsi="Helvetica" w:cs="Times New Roman"/>
          <w:color w:val="000000"/>
          <w:lang w:eastAsia="en-US"/>
        </w:rPr>
        <w:t>Levitin’s</w:t>
      </w:r>
      <w:proofErr w:type="spellEnd"/>
      <w:r w:rsidRPr="00367FE5">
        <w:rPr>
          <w:rFonts w:ascii="Helvetica" w:hAnsi="Helvetica" w:cs="Times New Roman"/>
          <w:color w:val="000000"/>
          <w:lang w:eastAsia="en-US"/>
        </w:rPr>
        <w:t> </w:t>
      </w:r>
      <w:r w:rsidRPr="00367FE5">
        <w:rPr>
          <w:rFonts w:ascii="Helvetica" w:hAnsi="Helvetica" w:cs="Times New Roman"/>
          <w:i/>
          <w:iCs/>
          <w:color w:val="000000"/>
          <w:bdr w:val="none" w:sz="0" w:space="0" w:color="auto" w:frame="1"/>
          <w:lang w:eastAsia="en-US"/>
        </w:rPr>
        <w:t>This is Your Brain on Music</w:t>
      </w:r>
      <w:r w:rsidRPr="00367FE5">
        <w:rPr>
          <w:rFonts w:ascii="Helvetica" w:hAnsi="Helvetica" w:cs="Times New Roman"/>
          <w:color w:val="000000"/>
          <w:lang w:eastAsia="en-US"/>
        </w:rPr>
        <w:t>, and more recently, </w:t>
      </w:r>
      <w:r w:rsidRPr="00367FE5">
        <w:rPr>
          <w:rFonts w:ascii="Helvetica" w:hAnsi="Helvetica" w:cs="Times New Roman"/>
          <w:i/>
          <w:iCs/>
          <w:color w:val="000000"/>
          <w:bdr w:val="none" w:sz="0" w:space="0" w:color="auto" w:frame="1"/>
          <w:lang w:eastAsia="en-US"/>
        </w:rPr>
        <w:t>Your Playlist Can Change Your Life</w:t>
      </w:r>
      <w:r w:rsidRPr="00367FE5">
        <w:rPr>
          <w:rFonts w:ascii="Helvetica" w:hAnsi="Helvetica" w:cs="Times New Roman"/>
          <w:color w:val="000000"/>
          <w:lang w:eastAsia="en-US"/>
        </w:rPr>
        <w:t xml:space="preserve">, by authors Galina </w:t>
      </w:r>
      <w:proofErr w:type="spellStart"/>
      <w:r w:rsidRPr="00367FE5">
        <w:rPr>
          <w:rFonts w:ascii="Helvetica" w:hAnsi="Helvetica" w:cs="Times New Roman"/>
          <w:color w:val="000000"/>
          <w:lang w:eastAsia="en-US"/>
        </w:rPr>
        <w:t>Mindlin</w:t>
      </w:r>
      <w:proofErr w:type="spellEnd"/>
      <w:r w:rsidRPr="00367FE5">
        <w:rPr>
          <w:rFonts w:ascii="Helvetica" w:hAnsi="Helvetica" w:cs="Times New Roman"/>
          <w:color w:val="000000"/>
          <w:lang w:eastAsia="en-US"/>
        </w:rPr>
        <w:t xml:space="preserve">, Don </w:t>
      </w:r>
      <w:proofErr w:type="spellStart"/>
      <w:r w:rsidRPr="00367FE5">
        <w:rPr>
          <w:rFonts w:ascii="Helvetica" w:hAnsi="Helvetica" w:cs="Times New Roman"/>
          <w:color w:val="000000"/>
          <w:lang w:eastAsia="en-US"/>
        </w:rPr>
        <w:t>DuRousseau</w:t>
      </w:r>
      <w:proofErr w:type="spellEnd"/>
      <w:r w:rsidRPr="00367FE5">
        <w:rPr>
          <w:rFonts w:ascii="Helvetica" w:hAnsi="Helvetica" w:cs="Times New Roman"/>
          <w:color w:val="000000"/>
          <w:lang w:eastAsia="en-US"/>
        </w:rPr>
        <w:t xml:space="preserve"> and Joseph </w:t>
      </w:r>
      <w:proofErr w:type="spellStart"/>
      <w:r w:rsidRPr="00367FE5">
        <w:rPr>
          <w:rFonts w:ascii="Helvetica" w:hAnsi="Helvetica" w:cs="Times New Roman"/>
          <w:color w:val="000000"/>
          <w:lang w:eastAsia="en-US"/>
        </w:rPr>
        <w:t>Cardillo</w:t>
      </w:r>
      <w:proofErr w:type="spellEnd"/>
      <w:r w:rsidRPr="00367FE5">
        <w:rPr>
          <w:rFonts w:ascii="Helvetica" w:hAnsi="Helvetica" w:cs="Times New Roman"/>
          <w:color w:val="000000"/>
          <w:lang w:eastAsia="en-US"/>
        </w:rPr>
        <w:t>.</w:t>
      </w:r>
    </w:p>
    <w:p w:rsidR="00367FE5" w:rsidRPr="00367FE5" w:rsidRDefault="00367FE5" w:rsidP="00367FE5">
      <w:pPr>
        <w:spacing w:after="300"/>
        <w:textAlignment w:val="baseline"/>
        <w:rPr>
          <w:rFonts w:ascii="Helvetica" w:hAnsi="Helvetica" w:cs="Times New Roman"/>
          <w:color w:val="000000"/>
          <w:lang w:eastAsia="en-US"/>
        </w:rPr>
      </w:pPr>
      <w:r w:rsidRPr="00367FE5">
        <w:rPr>
          <w:rFonts w:ascii="Helvetica" w:hAnsi="Helvetica" w:cs="Times New Roman"/>
          <w:color w:val="000000"/>
          <w:lang w:eastAsia="en-US"/>
        </w:rPr>
        <w:t>Brain-imaging studies have shown that music is processed in large-scale networks throughout both hemispheres, activating areas responsible for language, listening, motor skills, emotion, memory and creativity, among others.</w:t>
      </w:r>
    </w:p>
    <w:p w:rsidR="00367FE5" w:rsidRPr="00367FE5" w:rsidRDefault="00367FE5" w:rsidP="00367FE5">
      <w:pPr>
        <w:spacing w:after="300"/>
        <w:textAlignment w:val="baseline"/>
        <w:rPr>
          <w:rFonts w:ascii="Helvetica" w:hAnsi="Helvetica" w:cs="Times New Roman"/>
          <w:color w:val="000000"/>
          <w:lang w:eastAsia="en-US"/>
        </w:rPr>
      </w:pPr>
      <w:r w:rsidRPr="00367FE5">
        <w:rPr>
          <w:rFonts w:ascii="Helvetica" w:hAnsi="Helvetica" w:cs="Times New Roman"/>
          <w:color w:val="000000"/>
          <w:lang w:eastAsia="en-US"/>
        </w:rPr>
        <w:t>Music therapy activates multiple pathways by stimulating parts of the brain that process pitch, rhythm, lyrics and melody. In theory, music can also fire up neurons in damaged areas responsible for speech and motor functions, as well as in parts of the brain not normally used for those tasks.</w:t>
      </w:r>
    </w:p>
    <w:p w:rsidR="003972C0" w:rsidRDefault="003972C0"/>
    <w:sectPr w:rsidR="003972C0" w:rsidSect="00A67C8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851C83"/>
    <w:multiLevelType w:val="multilevel"/>
    <w:tmpl w:val="157CA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FE5"/>
    <w:rsid w:val="00367FE5"/>
    <w:rsid w:val="003972C0"/>
    <w:rsid w:val="008E5D9C"/>
    <w:rsid w:val="00A67C8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223EF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link w:val="Heading1Char"/>
    <w:uiPriority w:val="9"/>
    <w:qFormat/>
    <w:rsid w:val="00367FE5"/>
    <w:pPr>
      <w:spacing w:before="100" w:beforeAutospacing="1" w:after="100" w:afterAutospacing="1"/>
      <w:outlineLvl w:val="0"/>
    </w:pPr>
    <w:rPr>
      <w:rFonts w:ascii="Times" w:hAnsi="Times"/>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7FE5"/>
    <w:rPr>
      <w:rFonts w:ascii="Times" w:hAnsi="Times"/>
      <w:b/>
      <w:bCs/>
      <w:kern w:val="36"/>
      <w:sz w:val="48"/>
      <w:szCs w:val="48"/>
      <w:lang w:eastAsia="en-US"/>
    </w:rPr>
  </w:style>
  <w:style w:type="paragraph" w:customStyle="1" w:styleId="byline">
    <w:name w:val="byline"/>
    <w:basedOn w:val="Normal"/>
    <w:rsid w:val="00367FE5"/>
    <w:pPr>
      <w:spacing w:before="100" w:beforeAutospacing="1" w:after="100" w:afterAutospacing="1"/>
    </w:pPr>
    <w:rPr>
      <w:rFonts w:ascii="Times" w:hAnsi="Times"/>
      <w:sz w:val="20"/>
      <w:szCs w:val="20"/>
      <w:lang w:eastAsia="en-US"/>
    </w:rPr>
  </w:style>
  <w:style w:type="paragraph" w:customStyle="1" w:styleId="creditline">
    <w:name w:val="creditline"/>
    <w:basedOn w:val="Normal"/>
    <w:rsid w:val="00367FE5"/>
    <w:pPr>
      <w:spacing w:before="100" w:beforeAutospacing="1" w:after="100" w:afterAutospacing="1"/>
    </w:pPr>
    <w:rPr>
      <w:rFonts w:ascii="Times" w:hAnsi="Times"/>
      <w:sz w:val="20"/>
      <w:szCs w:val="20"/>
      <w:lang w:eastAsia="en-US"/>
    </w:rPr>
  </w:style>
  <w:style w:type="paragraph" w:styleId="NormalWeb">
    <w:name w:val="Normal (Web)"/>
    <w:basedOn w:val="Normal"/>
    <w:uiPriority w:val="99"/>
    <w:semiHidden/>
    <w:unhideWhenUsed/>
    <w:rsid w:val="00367FE5"/>
    <w:pPr>
      <w:spacing w:before="100" w:beforeAutospacing="1" w:after="100" w:afterAutospacing="1"/>
    </w:pPr>
    <w:rPr>
      <w:rFonts w:ascii="Times" w:hAnsi="Times" w:cs="Times New Roman"/>
      <w:sz w:val="20"/>
      <w:szCs w:val="20"/>
      <w:lang w:eastAsia="en-US"/>
    </w:rPr>
  </w:style>
  <w:style w:type="character" w:customStyle="1" w:styleId="apple-converted-space">
    <w:name w:val="apple-converted-space"/>
    <w:basedOn w:val="DefaultParagraphFont"/>
    <w:rsid w:val="00367FE5"/>
  </w:style>
  <w:style w:type="character" w:styleId="Hyperlink">
    <w:name w:val="Hyperlink"/>
    <w:basedOn w:val="DefaultParagraphFont"/>
    <w:uiPriority w:val="99"/>
    <w:semiHidden/>
    <w:unhideWhenUsed/>
    <w:rsid w:val="00367FE5"/>
    <w:rPr>
      <w:color w:val="0000FF"/>
      <w:u w:val="single"/>
    </w:rPr>
  </w:style>
  <w:style w:type="character" w:customStyle="1" w:styleId="gig-counter-text">
    <w:name w:val="gig-counter-text"/>
    <w:basedOn w:val="DefaultParagraphFont"/>
    <w:rsid w:val="00367FE5"/>
  </w:style>
  <w:style w:type="character" w:customStyle="1" w:styleId="iconarticleprinttext">
    <w:name w:val="icon_article_print_text"/>
    <w:basedOn w:val="DefaultParagraphFont"/>
    <w:rsid w:val="00367FE5"/>
  </w:style>
  <w:style w:type="character" w:styleId="Emphasis">
    <w:name w:val="Emphasis"/>
    <w:basedOn w:val="DefaultParagraphFont"/>
    <w:uiPriority w:val="20"/>
    <w:qFormat/>
    <w:rsid w:val="00367FE5"/>
    <w:rPr>
      <w:i/>
      <w:iCs/>
    </w:rPr>
  </w:style>
  <w:style w:type="character" w:styleId="Strong">
    <w:name w:val="Strong"/>
    <w:basedOn w:val="DefaultParagraphFont"/>
    <w:uiPriority w:val="22"/>
    <w:qFormat/>
    <w:rsid w:val="00367FE5"/>
    <w:rPr>
      <w:b/>
      <w:bCs/>
    </w:rPr>
  </w:style>
  <w:style w:type="paragraph" w:styleId="BalloonText">
    <w:name w:val="Balloon Text"/>
    <w:basedOn w:val="Normal"/>
    <w:link w:val="BalloonTextChar"/>
    <w:uiPriority w:val="99"/>
    <w:semiHidden/>
    <w:unhideWhenUsed/>
    <w:rsid w:val="00367F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7FE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link w:val="Heading1Char"/>
    <w:uiPriority w:val="9"/>
    <w:qFormat/>
    <w:rsid w:val="00367FE5"/>
    <w:pPr>
      <w:spacing w:before="100" w:beforeAutospacing="1" w:after="100" w:afterAutospacing="1"/>
      <w:outlineLvl w:val="0"/>
    </w:pPr>
    <w:rPr>
      <w:rFonts w:ascii="Times" w:hAnsi="Times"/>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7FE5"/>
    <w:rPr>
      <w:rFonts w:ascii="Times" w:hAnsi="Times"/>
      <w:b/>
      <w:bCs/>
      <w:kern w:val="36"/>
      <w:sz w:val="48"/>
      <w:szCs w:val="48"/>
      <w:lang w:eastAsia="en-US"/>
    </w:rPr>
  </w:style>
  <w:style w:type="paragraph" w:customStyle="1" w:styleId="byline">
    <w:name w:val="byline"/>
    <w:basedOn w:val="Normal"/>
    <w:rsid w:val="00367FE5"/>
    <w:pPr>
      <w:spacing w:before="100" w:beforeAutospacing="1" w:after="100" w:afterAutospacing="1"/>
    </w:pPr>
    <w:rPr>
      <w:rFonts w:ascii="Times" w:hAnsi="Times"/>
      <w:sz w:val="20"/>
      <w:szCs w:val="20"/>
      <w:lang w:eastAsia="en-US"/>
    </w:rPr>
  </w:style>
  <w:style w:type="paragraph" w:customStyle="1" w:styleId="creditline">
    <w:name w:val="creditline"/>
    <w:basedOn w:val="Normal"/>
    <w:rsid w:val="00367FE5"/>
    <w:pPr>
      <w:spacing w:before="100" w:beforeAutospacing="1" w:after="100" w:afterAutospacing="1"/>
    </w:pPr>
    <w:rPr>
      <w:rFonts w:ascii="Times" w:hAnsi="Times"/>
      <w:sz w:val="20"/>
      <w:szCs w:val="20"/>
      <w:lang w:eastAsia="en-US"/>
    </w:rPr>
  </w:style>
  <w:style w:type="paragraph" w:styleId="NormalWeb">
    <w:name w:val="Normal (Web)"/>
    <w:basedOn w:val="Normal"/>
    <w:uiPriority w:val="99"/>
    <w:semiHidden/>
    <w:unhideWhenUsed/>
    <w:rsid w:val="00367FE5"/>
    <w:pPr>
      <w:spacing w:before="100" w:beforeAutospacing="1" w:after="100" w:afterAutospacing="1"/>
    </w:pPr>
    <w:rPr>
      <w:rFonts w:ascii="Times" w:hAnsi="Times" w:cs="Times New Roman"/>
      <w:sz w:val="20"/>
      <w:szCs w:val="20"/>
      <w:lang w:eastAsia="en-US"/>
    </w:rPr>
  </w:style>
  <w:style w:type="character" w:customStyle="1" w:styleId="apple-converted-space">
    <w:name w:val="apple-converted-space"/>
    <w:basedOn w:val="DefaultParagraphFont"/>
    <w:rsid w:val="00367FE5"/>
  </w:style>
  <w:style w:type="character" w:styleId="Hyperlink">
    <w:name w:val="Hyperlink"/>
    <w:basedOn w:val="DefaultParagraphFont"/>
    <w:uiPriority w:val="99"/>
    <w:semiHidden/>
    <w:unhideWhenUsed/>
    <w:rsid w:val="00367FE5"/>
    <w:rPr>
      <w:color w:val="0000FF"/>
      <w:u w:val="single"/>
    </w:rPr>
  </w:style>
  <w:style w:type="character" w:customStyle="1" w:styleId="gig-counter-text">
    <w:name w:val="gig-counter-text"/>
    <w:basedOn w:val="DefaultParagraphFont"/>
    <w:rsid w:val="00367FE5"/>
  </w:style>
  <w:style w:type="character" w:customStyle="1" w:styleId="iconarticleprinttext">
    <w:name w:val="icon_article_print_text"/>
    <w:basedOn w:val="DefaultParagraphFont"/>
    <w:rsid w:val="00367FE5"/>
  </w:style>
  <w:style w:type="character" w:styleId="Emphasis">
    <w:name w:val="Emphasis"/>
    <w:basedOn w:val="DefaultParagraphFont"/>
    <w:uiPriority w:val="20"/>
    <w:qFormat/>
    <w:rsid w:val="00367FE5"/>
    <w:rPr>
      <w:i/>
      <w:iCs/>
    </w:rPr>
  </w:style>
  <w:style w:type="character" w:styleId="Strong">
    <w:name w:val="Strong"/>
    <w:basedOn w:val="DefaultParagraphFont"/>
    <w:uiPriority w:val="22"/>
    <w:qFormat/>
    <w:rsid w:val="00367FE5"/>
    <w:rPr>
      <w:b/>
      <w:bCs/>
    </w:rPr>
  </w:style>
  <w:style w:type="paragraph" w:styleId="BalloonText">
    <w:name w:val="Balloon Text"/>
    <w:basedOn w:val="Normal"/>
    <w:link w:val="BalloonTextChar"/>
    <w:uiPriority w:val="99"/>
    <w:semiHidden/>
    <w:unhideWhenUsed/>
    <w:rsid w:val="00367F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7FE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057126">
      <w:bodyDiv w:val="1"/>
      <w:marLeft w:val="0"/>
      <w:marRight w:val="0"/>
      <w:marTop w:val="0"/>
      <w:marBottom w:val="0"/>
      <w:divBdr>
        <w:top w:val="none" w:sz="0" w:space="0" w:color="auto"/>
        <w:left w:val="none" w:sz="0" w:space="0" w:color="auto"/>
        <w:bottom w:val="none" w:sz="0" w:space="0" w:color="auto"/>
        <w:right w:val="none" w:sz="0" w:space="0" w:color="auto"/>
      </w:divBdr>
      <w:divsChild>
        <w:div w:id="474102086">
          <w:marLeft w:val="0"/>
          <w:marRight w:val="0"/>
          <w:marTop w:val="0"/>
          <w:marBottom w:val="0"/>
          <w:divBdr>
            <w:top w:val="none" w:sz="0" w:space="0" w:color="auto"/>
            <w:left w:val="none" w:sz="0" w:space="0" w:color="auto"/>
            <w:bottom w:val="none" w:sz="0" w:space="0" w:color="auto"/>
            <w:right w:val="none" w:sz="0" w:space="0" w:color="auto"/>
          </w:divBdr>
          <w:divsChild>
            <w:div w:id="259064422">
              <w:marLeft w:val="0"/>
              <w:marRight w:val="0"/>
              <w:marTop w:val="150"/>
              <w:marBottom w:val="0"/>
              <w:divBdr>
                <w:top w:val="none" w:sz="0" w:space="0" w:color="auto"/>
                <w:left w:val="none" w:sz="0" w:space="0" w:color="auto"/>
                <w:bottom w:val="none" w:sz="0" w:space="0" w:color="auto"/>
                <w:right w:val="none" w:sz="0" w:space="0" w:color="auto"/>
              </w:divBdr>
              <w:divsChild>
                <w:div w:id="199761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438256">
          <w:marLeft w:val="0"/>
          <w:marRight w:val="0"/>
          <w:marTop w:val="0"/>
          <w:marBottom w:val="0"/>
          <w:divBdr>
            <w:top w:val="none" w:sz="0" w:space="0" w:color="auto"/>
            <w:left w:val="none" w:sz="0" w:space="0" w:color="auto"/>
            <w:bottom w:val="none" w:sz="0" w:space="0" w:color="auto"/>
            <w:right w:val="none" w:sz="0" w:space="0" w:color="auto"/>
          </w:divBdr>
          <w:divsChild>
            <w:div w:id="2029021001">
              <w:marLeft w:val="0"/>
              <w:marRight w:val="0"/>
              <w:marTop w:val="0"/>
              <w:marBottom w:val="150"/>
              <w:divBdr>
                <w:top w:val="none" w:sz="0" w:space="0" w:color="auto"/>
                <w:left w:val="none" w:sz="0" w:space="0" w:color="auto"/>
                <w:bottom w:val="none" w:sz="0" w:space="0" w:color="auto"/>
                <w:right w:val="none" w:sz="0" w:space="0" w:color="auto"/>
              </w:divBdr>
              <w:divsChild>
                <w:div w:id="1053886312">
                  <w:marLeft w:val="0"/>
                  <w:marRight w:val="0"/>
                  <w:marTop w:val="0"/>
                  <w:marBottom w:val="0"/>
                  <w:divBdr>
                    <w:top w:val="none" w:sz="0" w:space="0" w:color="auto"/>
                    <w:left w:val="none" w:sz="0" w:space="0" w:color="auto"/>
                    <w:bottom w:val="none" w:sz="0" w:space="0" w:color="auto"/>
                    <w:right w:val="none" w:sz="0" w:space="0" w:color="auto"/>
                  </w:divBdr>
                </w:div>
                <w:div w:id="790590101">
                  <w:marLeft w:val="0"/>
                  <w:marRight w:val="0"/>
                  <w:marTop w:val="0"/>
                  <w:marBottom w:val="0"/>
                  <w:divBdr>
                    <w:top w:val="none" w:sz="0" w:space="0" w:color="auto"/>
                    <w:left w:val="none" w:sz="0" w:space="0" w:color="auto"/>
                    <w:bottom w:val="none" w:sz="0" w:space="0" w:color="auto"/>
                    <w:right w:val="none" w:sz="0" w:space="0" w:color="auto"/>
                  </w:divBdr>
                  <w:divsChild>
                    <w:div w:id="1667173405">
                      <w:marLeft w:val="0"/>
                      <w:marRight w:val="0"/>
                      <w:marTop w:val="0"/>
                      <w:marBottom w:val="0"/>
                      <w:divBdr>
                        <w:top w:val="none" w:sz="0" w:space="0" w:color="auto"/>
                        <w:left w:val="none" w:sz="0" w:space="0" w:color="auto"/>
                        <w:bottom w:val="none" w:sz="0" w:space="0" w:color="auto"/>
                        <w:right w:val="none" w:sz="0" w:space="0" w:color="auto"/>
                      </w:divBdr>
                      <w:divsChild>
                        <w:div w:id="804661186">
                          <w:marLeft w:val="0"/>
                          <w:marRight w:val="0"/>
                          <w:marTop w:val="0"/>
                          <w:marBottom w:val="0"/>
                          <w:divBdr>
                            <w:top w:val="none" w:sz="0" w:space="0" w:color="auto"/>
                            <w:left w:val="none" w:sz="0" w:space="0" w:color="auto"/>
                            <w:bottom w:val="none" w:sz="0" w:space="0" w:color="auto"/>
                            <w:right w:val="none" w:sz="0" w:space="0" w:color="auto"/>
                          </w:divBdr>
                          <w:divsChild>
                            <w:div w:id="1598560884">
                              <w:marLeft w:val="0"/>
                              <w:marRight w:val="0"/>
                              <w:marTop w:val="0"/>
                              <w:marBottom w:val="0"/>
                              <w:divBdr>
                                <w:top w:val="none" w:sz="0" w:space="0" w:color="auto"/>
                                <w:left w:val="none" w:sz="0" w:space="0" w:color="auto"/>
                                <w:bottom w:val="none" w:sz="0" w:space="0" w:color="auto"/>
                                <w:right w:val="none" w:sz="0" w:space="0" w:color="auto"/>
                              </w:divBdr>
                            </w:div>
                            <w:div w:id="1095781645">
                              <w:marLeft w:val="15"/>
                              <w:marRight w:val="0"/>
                              <w:marTop w:val="0"/>
                              <w:marBottom w:val="0"/>
                              <w:divBdr>
                                <w:top w:val="none" w:sz="0" w:space="0" w:color="auto"/>
                                <w:left w:val="none" w:sz="0" w:space="0" w:color="auto"/>
                                <w:bottom w:val="none" w:sz="0" w:space="0" w:color="auto"/>
                                <w:right w:val="none" w:sz="0" w:space="0" w:color="auto"/>
                              </w:divBdr>
                            </w:div>
                          </w:divsChild>
                        </w:div>
                        <w:div w:id="371273246">
                          <w:marLeft w:val="0"/>
                          <w:marRight w:val="0"/>
                          <w:marTop w:val="0"/>
                          <w:marBottom w:val="0"/>
                          <w:divBdr>
                            <w:top w:val="none" w:sz="0" w:space="0" w:color="auto"/>
                            <w:left w:val="none" w:sz="0" w:space="0" w:color="auto"/>
                            <w:bottom w:val="none" w:sz="0" w:space="0" w:color="auto"/>
                            <w:right w:val="none" w:sz="0" w:space="0" w:color="auto"/>
                          </w:divBdr>
                          <w:divsChild>
                            <w:div w:id="2062050739">
                              <w:marLeft w:val="0"/>
                              <w:marRight w:val="0"/>
                              <w:marTop w:val="0"/>
                              <w:marBottom w:val="0"/>
                              <w:divBdr>
                                <w:top w:val="none" w:sz="0" w:space="0" w:color="auto"/>
                                <w:left w:val="none" w:sz="0" w:space="0" w:color="auto"/>
                                <w:bottom w:val="none" w:sz="0" w:space="0" w:color="auto"/>
                                <w:right w:val="none" w:sz="0" w:space="0" w:color="auto"/>
                              </w:divBdr>
                            </w:div>
                            <w:div w:id="1707367334">
                              <w:marLeft w:val="15"/>
                              <w:marRight w:val="0"/>
                              <w:marTop w:val="0"/>
                              <w:marBottom w:val="0"/>
                              <w:divBdr>
                                <w:top w:val="none" w:sz="0" w:space="0" w:color="auto"/>
                                <w:left w:val="none" w:sz="0" w:space="0" w:color="auto"/>
                                <w:bottom w:val="none" w:sz="0" w:space="0" w:color="auto"/>
                                <w:right w:val="none" w:sz="0" w:space="0" w:color="auto"/>
                              </w:divBdr>
                            </w:div>
                          </w:divsChild>
                        </w:div>
                        <w:div w:id="153298283">
                          <w:marLeft w:val="0"/>
                          <w:marRight w:val="0"/>
                          <w:marTop w:val="0"/>
                          <w:marBottom w:val="0"/>
                          <w:divBdr>
                            <w:top w:val="none" w:sz="0" w:space="0" w:color="auto"/>
                            <w:left w:val="none" w:sz="0" w:space="0" w:color="auto"/>
                            <w:bottom w:val="none" w:sz="0" w:space="0" w:color="auto"/>
                            <w:right w:val="none" w:sz="0" w:space="0" w:color="auto"/>
                          </w:divBdr>
                          <w:divsChild>
                            <w:div w:id="1084256103">
                              <w:marLeft w:val="0"/>
                              <w:marRight w:val="0"/>
                              <w:marTop w:val="0"/>
                              <w:marBottom w:val="0"/>
                              <w:divBdr>
                                <w:top w:val="none" w:sz="0" w:space="0" w:color="auto"/>
                                <w:left w:val="none" w:sz="0" w:space="0" w:color="auto"/>
                                <w:bottom w:val="none" w:sz="0" w:space="0" w:color="auto"/>
                                <w:right w:val="none" w:sz="0" w:space="0" w:color="auto"/>
                              </w:divBdr>
                            </w:div>
                            <w:div w:id="1439518379">
                              <w:marLeft w:val="15"/>
                              <w:marRight w:val="0"/>
                              <w:marTop w:val="0"/>
                              <w:marBottom w:val="0"/>
                              <w:divBdr>
                                <w:top w:val="none" w:sz="0" w:space="0" w:color="auto"/>
                                <w:left w:val="none" w:sz="0" w:space="0" w:color="auto"/>
                                <w:bottom w:val="none" w:sz="0" w:space="0" w:color="auto"/>
                                <w:right w:val="none" w:sz="0" w:space="0" w:color="auto"/>
                              </w:divBdr>
                            </w:div>
                          </w:divsChild>
                        </w:div>
                        <w:div w:id="1242181835">
                          <w:marLeft w:val="0"/>
                          <w:marRight w:val="0"/>
                          <w:marTop w:val="0"/>
                          <w:marBottom w:val="0"/>
                          <w:divBdr>
                            <w:top w:val="none" w:sz="0" w:space="0" w:color="auto"/>
                            <w:left w:val="none" w:sz="0" w:space="0" w:color="auto"/>
                            <w:bottom w:val="none" w:sz="0" w:space="0" w:color="auto"/>
                            <w:right w:val="none" w:sz="0" w:space="0" w:color="auto"/>
                          </w:divBdr>
                          <w:divsChild>
                            <w:div w:id="2088455038">
                              <w:marLeft w:val="0"/>
                              <w:marRight w:val="0"/>
                              <w:marTop w:val="0"/>
                              <w:marBottom w:val="0"/>
                              <w:divBdr>
                                <w:top w:val="none" w:sz="0" w:space="0" w:color="auto"/>
                                <w:left w:val="none" w:sz="0" w:space="0" w:color="auto"/>
                                <w:bottom w:val="none" w:sz="0" w:space="0" w:color="auto"/>
                                <w:right w:val="none" w:sz="0" w:space="0" w:color="auto"/>
                              </w:divBdr>
                            </w:div>
                            <w:div w:id="213767637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63810">
              <w:marLeft w:val="0"/>
              <w:marRight w:val="0"/>
              <w:marTop w:val="0"/>
              <w:marBottom w:val="0"/>
              <w:divBdr>
                <w:top w:val="none" w:sz="0" w:space="0" w:color="auto"/>
                <w:left w:val="none" w:sz="0" w:space="0" w:color="auto"/>
                <w:bottom w:val="none" w:sz="0" w:space="0" w:color="auto"/>
                <w:right w:val="none" w:sz="0" w:space="0" w:color="auto"/>
              </w:divBdr>
              <w:divsChild>
                <w:div w:id="208575467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974</Words>
  <Characters>5553</Characters>
  <Application>Microsoft Macintosh Word</Application>
  <DocSecurity>0</DocSecurity>
  <Lines>46</Lines>
  <Paragraphs>13</Paragraphs>
  <ScaleCrop>false</ScaleCrop>
  <Company/>
  <LinksUpToDate>false</LinksUpToDate>
  <CharactersWithSpaces>6514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Summers</dc:creator>
  <cp:keywords/>
  <dc:description/>
  <cp:lastModifiedBy>Susan Summers</cp:lastModifiedBy>
  <cp:revision>1</cp:revision>
  <dcterms:created xsi:type="dcterms:W3CDTF">2012-06-02T21:34:00Z</dcterms:created>
  <dcterms:modified xsi:type="dcterms:W3CDTF">2012-06-02T21:35:00Z</dcterms:modified>
</cp:coreProperties>
</file>